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302D">
      <w:pPr>
        <w:jc w:val="center"/>
        <w:rPr>
          <w:rFonts w:ascii="黑体" w:hAnsi="黑体" w:eastAsia="黑体"/>
          <w:sz w:val="72"/>
          <w:szCs w:val="72"/>
        </w:rPr>
      </w:pPr>
      <w:bookmarkStart w:id="0" w:name="_Hlk199161168"/>
    </w:p>
    <w:bookmarkEnd w:id="0"/>
    <w:p w14:paraId="1B02EDC6">
      <w:pPr>
        <w:jc w:val="center"/>
        <w:rPr>
          <w:rFonts w:hint="eastAsia"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1</w:t>
      </w:r>
      <w:r>
        <w:rPr>
          <w:rFonts w:ascii="黑体" w:hAnsi="黑体" w:eastAsia="黑体"/>
          <w:sz w:val="72"/>
          <w:szCs w:val="72"/>
        </w:rPr>
        <w:t>50</w:t>
      </w:r>
      <w:r>
        <w:rPr>
          <w:rFonts w:hint="eastAsia" w:ascii="黑体" w:hAnsi="黑体" w:eastAsia="黑体"/>
          <w:sz w:val="72"/>
          <w:szCs w:val="72"/>
        </w:rPr>
        <w:t>米三峡游轮</w:t>
      </w:r>
    </w:p>
    <w:p w14:paraId="4B0BF9E3">
      <w:pPr>
        <w:jc w:val="center"/>
        <w:rPr>
          <w:rFonts w:hint="default" w:ascii="黑体" w:hAnsi="黑体" w:eastAsia="黑体"/>
          <w:sz w:val="72"/>
          <w:szCs w:val="72"/>
          <w:lang w:val="en-US" w:eastAsia="zh-CN"/>
        </w:rPr>
      </w:pPr>
      <w:r>
        <w:rPr>
          <w:rFonts w:hint="eastAsia" w:ascii="黑体" w:hAnsi="黑体" w:eastAsia="黑体"/>
          <w:sz w:val="72"/>
          <w:szCs w:val="72"/>
          <w:lang w:eastAsia="zh-CN"/>
        </w:rPr>
        <w:t>（</w:t>
      </w:r>
      <w:r>
        <w:rPr>
          <w:rFonts w:hint="eastAsia" w:ascii="黑体" w:hAnsi="黑体" w:eastAsia="黑体"/>
          <w:sz w:val="72"/>
          <w:szCs w:val="72"/>
          <w:lang w:val="en-US" w:eastAsia="zh-CN"/>
        </w:rPr>
        <w:t>窗帘系列）</w:t>
      </w:r>
    </w:p>
    <w:p w14:paraId="03893A60">
      <w:pPr>
        <w:spacing w:line="1200" w:lineRule="atLeast"/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技</w:t>
      </w:r>
    </w:p>
    <w:p w14:paraId="22111187">
      <w:pPr>
        <w:spacing w:line="1200" w:lineRule="atLeast"/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术</w:t>
      </w:r>
    </w:p>
    <w:p w14:paraId="5111C689">
      <w:pPr>
        <w:spacing w:line="1200" w:lineRule="atLeast"/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协</w:t>
      </w:r>
    </w:p>
    <w:p w14:paraId="27575493">
      <w:pPr>
        <w:spacing w:line="1200" w:lineRule="atLeast"/>
        <w:jc w:val="center"/>
        <w:rPr>
          <w:rFonts w:ascii="黑体" w:hAnsi="黑体" w:eastAsia="黑体"/>
          <w:sz w:val="56"/>
          <w:szCs w:val="56"/>
        </w:rPr>
      </w:pPr>
      <w:r>
        <w:rPr>
          <w:rFonts w:hint="eastAsia" w:ascii="黑体" w:hAnsi="黑体" w:eastAsia="黑体"/>
          <w:sz w:val="72"/>
          <w:szCs w:val="72"/>
        </w:rPr>
        <w:t>议</w:t>
      </w:r>
    </w:p>
    <w:p w14:paraId="15D2A777">
      <w:pPr>
        <w:spacing w:line="360" w:lineRule="auto"/>
        <w:rPr>
          <w:rFonts w:asciiTheme="minorEastAsia" w:hAnsiTheme="minorEastAsia"/>
          <w:b/>
          <w:bCs/>
          <w:sz w:val="24"/>
        </w:rPr>
      </w:pPr>
    </w:p>
    <w:p w14:paraId="27F9F603">
      <w:pPr>
        <w:snapToGrid w:val="0"/>
        <w:spacing w:line="360" w:lineRule="auto"/>
        <w:ind w:firstLine="602" w:firstLineChars="200"/>
        <w:jc w:val="left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船    东：重庆交运游轮有限公司</w:t>
      </w:r>
    </w:p>
    <w:p w14:paraId="02ECF2CF">
      <w:pPr>
        <w:snapToGrid w:val="0"/>
        <w:spacing w:line="360" w:lineRule="auto"/>
        <w:ind w:firstLine="602" w:firstLineChars="200"/>
        <w:jc w:val="left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代表签字：</w:t>
      </w:r>
    </w:p>
    <w:p w14:paraId="571AEA3B">
      <w:pPr>
        <w:snapToGrid w:val="0"/>
        <w:spacing w:line="360" w:lineRule="auto"/>
        <w:ind w:firstLine="1205" w:firstLineChars="400"/>
        <w:jc w:val="left"/>
        <w:rPr>
          <w:rFonts w:ascii="宋体"/>
          <w:b/>
          <w:sz w:val="30"/>
          <w:szCs w:val="30"/>
        </w:rPr>
      </w:pPr>
    </w:p>
    <w:p w14:paraId="3C9C4A22">
      <w:pPr>
        <w:snapToGrid w:val="0"/>
        <w:spacing w:line="360" w:lineRule="auto"/>
        <w:ind w:firstLine="602" w:firstLineChars="200"/>
        <w:jc w:val="left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船厂（甲方）：重庆中江船业有限公司</w:t>
      </w:r>
    </w:p>
    <w:p w14:paraId="308FB328">
      <w:pPr>
        <w:snapToGrid w:val="0"/>
        <w:spacing w:line="360" w:lineRule="auto"/>
        <w:ind w:firstLine="602" w:firstLineChars="200"/>
        <w:jc w:val="left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代表签字：</w:t>
      </w:r>
    </w:p>
    <w:p w14:paraId="1AB9C567">
      <w:pPr>
        <w:snapToGrid w:val="0"/>
        <w:spacing w:line="360" w:lineRule="auto"/>
        <w:ind w:firstLine="1205" w:firstLineChars="400"/>
        <w:jc w:val="left"/>
        <w:rPr>
          <w:rFonts w:ascii="宋体"/>
          <w:b/>
          <w:sz w:val="30"/>
          <w:szCs w:val="30"/>
        </w:rPr>
      </w:pPr>
    </w:p>
    <w:p w14:paraId="053773DF">
      <w:pPr>
        <w:snapToGrid w:val="0"/>
        <w:spacing w:line="360" w:lineRule="auto"/>
        <w:ind w:firstLine="602" w:firstLineChars="200"/>
        <w:jc w:val="left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 xml:space="preserve">供货商（乙方）： </w:t>
      </w:r>
    </w:p>
    <w:p w14:paraId="5D387424">
      <w:pPr>
        <w:snapToGrid w:val="0"/>
        <w:spacing w:line="360" w:lineRule="auto"/>
        <w:ind w:firstLine="602" w:firstLineChars="200"/>
        <w:jc w:val="left"/>
        <w:rPr>
          <w:rFonts w:ascii="宋体"/>
          <w:b/>
          <w:szCs w:val="21"/>
        </w:rPr>
      </w:pPr>
      <w:r>
        <w:rPr>
          <w:rFonts w:hint="eastAsia" w:ascii="宋体"/>
          <w:b/>
          <w:sz w:val="30"/>
          <w:szCs w:val="30"/>
        </w:rPr>
        <w:t>代表签字：</w:t>
      </w:r>
    </w:p>
    <w:p w14:paraId="0566436C">
      <w:pPr>
        <w:snapToGrid w:val="0"/>
        <w:spacing w:line="800" w:lineRule="exact"/>
        <w:ind w:firstLine="602" w:firstLineChars="200"/>
        <w:jc w:val="left"/>
        <w:rPr>
          <w:rFonts w:hint="eastAsia"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 xml:space="preserve">签订日期： </w:t>
      </w:r>
      <w:r>
        <w:rPr>
          <w:rFonts w:ascii="宋体"/>
          <w:b/>
          <w:sz w:val="30"/>
          <w:szCs w:val="30"/>
        </w:rPr>
        <w:t xml:space="preserve">       </w:t>
      </w:r>
      <w:r>
        <w:rPr>
          <w:rFonts w:hint="eastAsia" w:ascii="宋体"/>
          <w:b/>
          <w:sz w:val="30"/>
          <w:szCs w:val="30"/>
        </w:rPr>
        <w:t xml:space="preserve">年 </w:t>
      </w:r>
      <w:r>
        <w:rPr>
          <w:rFonts w:ascii="宋体"/>
          <w:b/>
          <w:sz w:val="30"/>
          <w:szCs w:val="30"/>
        </w:rPr>
        <w:t xml:space="preserve">    </w:t>
      </w:r>
      <w:r>
        <w:rPr>
          <w:rFonts w:hint="eastAsia" w:ascii="宋体"/>
          <w:b/>
          <w:sz w:val="30"/>
          <w:szCs w:val="30"/>
        </w:rPr>
        <w:t xml:space="preserve">月 </w:t>
      </w:r>
      <w:r>
        <w:rPr>
          <w:rFonts w:ascii="宋体"/>
          <w:b/>
          <w:sz w:val="30"/>
          <w:szCs w:val="30"/>
        </w:rPr>
        <w:t xml:space="preserve">   </w:t>
      </w:r>
      <w:r>
        <w:rPr>
          <w:rFonts w:hint="eastAsia" w:ascii="宋体"/>
          <w:b/>
          <w:sz w:val="30"/>
          <w:szCs w:val="30"/>
        </w:rPr>
        <w:t>日</w:t>
      </w:r>
    </w:p>
    <w:p w14:paraId="5A7F2D61">
      <w:pPr>
        <w:snapToGrid w:val="0"/>
        <w:spacing w:line="800" w:lineRule="exact"/>
        <w:ind w:firstLine="602" w:firstLineChars="200"/>
        <w:jc w:val="left"/>
        <w:rPr>
          <w:rFonts w:hint="eastAsia" w:ascii="宋体"/>
          <w:b/>
          <w:sz w:val="30"/>
          <w:szCs w:val="30"/>
        </w:rPr>
      </w:pPr>
    </w:p>
    <w:p w14:paraId="5674374B">
      <w:pPr>
        <w:tabs>
          <w:tab w:val="left" w:pos="879"/>
          <w:tab w:val="left" w:pos="3362"/>
        </w:tabs>
        <w:spacing w:line="360" w:lineRule="auto"/>
        <w:ind w:firstLine="241" w:firstLineChars="1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说明</w:t>
      </w:r>
      <w:r>
        <w:rPr>
          <w:rFonts w:hint="eastAsia" w:ascii="宋体" w:hAnsi="宋体" w:eastAsia="宋体" w:cs="宋体"/>
          <w:sz w:val="24"/>
        </w:rPr>
        <w:t>：根据“1</w:t>
      </w:r>
      <w:r>
        <w:rPr>
          <w:rFonts w:ascii="宋体" w:hAnsi="宋体" w:eastAsia="宋体" w:cs="宋体"/>
          <w:sz w:val="24"/>
        </w:rPr>
        <w:t>50</w:t>
      </w:r>
      <w:r>
        <w:rPr>
          <w:rFonts w:hint="eastAsia" w:ascii="宋体" w:hAnsi="宋体" w:eastAsia="宋体" w:cs="宋体"/>
          <w:sz w:val="24"/>
        </w:rPr>
        <w:t>米三峡游轮（重轮长江云帆）”的设计图</w:t>
      </w:r>
      <w:r>
        <w:rPr>
          <w:rFonts w:hint="eastAsia" w:ascii="宋体" w:hAnsi="宋体" w:eastAsia="宋体" w:cs="宋体"/>
          <w:sz w:val="24"/>
          <w:lang w:val="en-US" w:eastAsia="zh-CN"/>
        </w:rPr>
        <w:t>和效果图，结合设计师实际选样，根据不同位置和功能，采用以下分类：</w:t>
      </w:r>
    </w:p>
    <w:p w14:paraId="2C102DF4">
      <w:pPr>
        <w:tabs>
          <w:tab w:val="left" w:pos="879"/>
          <w:tab w:val="left" w:pos="3362"/>
        </w:tabs>
        <w:spacing w:line="360" w:lineRule="auto"/>
        <w:rPr>
          <w:rFonts w:hint="default" w:ascii="宋体" w:hAnsi="宋体" w:eastAsia="宋体" w:cs="宋体"/>
          <w:b/>
          <w:bCs/>
          <w:sz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</w:rPr>
        <w:t>一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工程范围及规格数量：</w:t>
      </w:r>
    </w:p>
    <w:p w14:paraId="0D9D9F61">
      <w:pPr>
        <w:numPr>
          <w:ilvl w:val="0"/>
          <w:numId w:val="0"/>
        </w:numPr>
        <w:tabs>
          <w:tab w:val="left" w:pos="879"/>
          <w:tab w:val="left" w:pos="3362"/>
        </w:tabs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1.船员生活区无窗帘盒，采用罗马杆+布+纱做法；</w:t>
      </w:r>
    </w:p>
    <w:p w14:paraId="456FC9C5">
      <w:pPr>
        <w:numPr>
          <w:ilvl w:val="0"/>
          <w:numId w:val="0"/>
        </w:numPr>
        <w:tabs>
          <w:tab w:val="left" w:pos="879"/>
          <w:tab w:val="left" w:pos="3362"/>
        </w:tabs>
        <w:spacing w:line="360" w:lineRule="auto"/>
        <w:ind w:firstLine="481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2.标准客房A/B,亲子套房/豪华大床房/豪华套房/总套套房/餐厅/餐厅包房/多功能厅采用静音双轨道+布+纱做法；</w:t>
      </w:r>
    </w:p>
    <w:p w14:paraId="51C013E7">
      <w:pPr>
        <w:numPr>
          <w:ilvl w:val="0"/>
          <w:numId w:val="0"/>
        </w:numPr>
        <w:tabs>
          <w:tab w:val="left" w:pos="879"/>
          <w:tab w:val="left" w:pos="3362"/>
        </w:tabs>
        <w:spacing w:line="360" w:lineRule="auto"/>
        <w:ind w:firstLine="481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3.各层甲板中厅及中厅辅助区域（包括但不限于，健身房/医务室/特色商店/电玩间/儿童娱乐区采用静音轨道+纱做法；</w:t>
      </w:r>
    </w:p>
    <w:p w14:paraId="174A01F9">
      <w:pPr>
        <w:numPr>
          <w:ilvl w:val="0"/>
          <w:numId w:val="0"/>
        </w:numPr>
        <w:tabs>
          <w:tab w:val="left" w:pos="879"/>
          <w:tab w:val="left" w:pos="3362"/>
        </w:tabs>
        <w:spacing w:line="360" w:lineRule="auto"/>
        <w:ind w:firstLine="481"/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4.KTVF/SPA房间/亲子套房墙面硬包布，只提供布料，实际施工由各施工班组负责。</w:t>
      </w:r>
    </w:p>
    <w:p w14:paraId="1417B2BF">
      <w:pPr>
        <w:numPr>
          <w:ilvl w:val="0"/>
          <w:numId w:val="0"/>
        </w:numPr>
        <w:tabs>
          <w:tab w:val="left" w:pos="879"/>
          <w:tab w:val="left" w:pos="3362"/>
        </w:tabs>
        <w:spacing w:line="360" w:lineRule="auto"/>
        <w:ind w:firstLine="241" w:firstLineChars="1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二、规范及证书要求：</w:t>
      </w:r>
    </w:p>
    <w:p w14:paraId="6D2DF734">
      <w:pPr>
        <w:numPr>
          <w:ilvl w:val="0"/>
          <w:numId w:val="0"/>
        </w:numPr>
        <w:tabs>
          <w:tab w:val="left" w:pos="879"/>
          <w:tab w:val="left" w:pos="336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窗帘布料的品质应符合但不限于以下国家 / 行业技术标准：</w:t>
      </w:r>
    </w:p>
    <w:p w14:paraId="1B46FE2E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1.1《阻燃机织物》GB17591-1998</w:t>
      </w:r>
    </w:p>
    <w:p w14:paraId="30087676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24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1.2《纺织品燃烧性能试验垂直法》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</w:t>
      </w:r>
    </w:p>
    <w:p w14:paraId="465130CE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1.3《国家纺织品基本安全技术规范》( GB18401-2003)</w:t>
      </w:r>
    </w:p>
    <w:p w14:paraId="2F5798E1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24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1.4《中国国家强制性产品认证》</w:t>
      </w:r>
    </w:p>
    <w:p w14:paraId="4A9D7E74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24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1.5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GB／T3921.3－199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,&lt;&lt;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纺织品色牢度实验耐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洗色牢度&gt;&gt;</w:t>
      </w:r>
    </w:p>
    <w:p w14:paraId="4D86392E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2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1.6.</w:t>
      </w:r>
      <w:r>
        <w:rPr>
          <w:rFonts w:hint="eastAsia" w:ascii="宋体" w:hAnsi="宋体" w:eastAsia="宋体" w:cs="宋体"/>
          <w:sz w:val="24"/>
          <w:szCs w:val="24"/>
        </w:rPr>
        <w:t>中国船级社CCS工厂认证要求并提供证书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4D5E451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1.7.</w:t>
      </w:r>
      <w:r>
        <w:rPr>
          <w:rFonts w:hint="eastAsia" w:ascii="宋体" w:hAnsi="宋体" w:eastAsia="宋体" w:cs="宋体"/>
          <w:sz w:val="24"/>
          <w:szCs w:val="24"/>
        </w:rPr>
        <w:t>GB/T 35611-2017绿色产品认证</w:t>
      </w:r>
    </w:p>
    <w:p w14:paraId="31C12704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24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1.8.</w:t>
      </w:r>
      <w:r>
        <w:rPr>
          <w:rFonts w:hint="eastAsia" w:ascii="宋体" w:hAnsi="宋体" w:eastAsia="宋体" w:cs="宋体"/>
          <w:sz w:val="24"/>
          <w:szCs w:val="24"/>
        </w:rPr>
        <w:t>GB/T5237.3-2017标准要求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84B356C">
      <w:pPr>
        <w:spacing w:line="360" w:lineRule="auto"/>
        <w:rPr>
          <w:rFonts w:ascii="宋体" w:eastAsia="宋体"/>
          <w:b/>
          <w:bCs/>
          <w:sz w:val="24"/>
        </w:rPr>
      </w:pPr>
      <w:r>
        <w:rPr>
          <w:rFonts w:hint="eastAsia" w:ascii="宋体" w:eastAsia="宋体"/>
          <w:b/>
          <w:bCs/>
          <w:sz w:val="24"/>
        </w:rPr>
        <w:t>三、</w:t>
      </w:r>
      <w:r>
        <w:rPr>
          <w:rFonts w:hint="eastAsia" w:ascii="宋体" w:eastAsia="宋体"/>
          <w:b/>
          <w:bCs/>
          <w:w w:val="95"/>
          <w:sz w:val="24"/>
          <w:lang w:val="en-US" w:eastAsia="zh-CN"/>
        </w:rPr>
        <w:t>计量规则和结算</w:t>
      </w:r>
      <w:r>
        <w:rPr>
          <w:rFonts w:hint="eastAsia" w:ascii="宋体" w:eastAsia="宋体"/>
          <w:b/>
          <w:bCs/>
          <w:w w:val="95"/>
          <w:sz w:val="24"/>
        </w:rPr>
        <w:t>:</w:t>
      </w:r>
    </w:p>
    <w:p w14:paraId="20E0751A">
      <w:pPr>
        <w:pStyle w:val="12"/>
        <w:numPr>
          <w:ilvl w:val="2"/>
          <w:numId w:val="0"/>
        </w:numPr>
        <w:tabs>
          <w:tab w:val="left" w:pos="879"/>
          <w:tab w:val="left" w:pos="1600"/>
        </w:tabs>
        <w:spacing w:line="360" w:lineRule="auto"/>
        <w:ind w:firstLine="240" w:firstLineChars="100"/>
        <w:rPr>
          <w:rFonts w:hint="eastAsia" w:ascii="宋体" w:eastAsia="宋体"/>
          <w:sz w:val="24"/>
          <w:lang w:val="en-US" w:eastAsia="zh-CN"/>
        </w:rPr>
      </w:pPr>
      <w:r>
        <w:rPr>
          <w:rFonts w:hint="eastAsia" w:ascii="宋体" w:eastAsia="宋体"/>
          <w:sz w:val="24"/>
          <w:lang w:val="en-US" w:eastAsia="zh-CN"/>
        </w:rPr>
        <w:t>1</w:t>
      </w:r>
      <w:r>
        <w:rPr>
          <w:rFonts w:hint="eastAsia" w:ascii="宋体" w:eastAsia="宋体"/>
          <w:sz w:val="24"/>
        </w:rPr>
        <w:t>、</w:t>
      </w:r>
      <w:r>
        <w:rPr>
          <w:rFonts w:hint="eastAsia" w:ascii="宋体" w:eastAsia="宋体"/>
          <w:sz w:val="24"/>
          <w:lang w:val="en-US" w:eastAsia="zh-CN"/>
        </w:rPr>
        <w:t>组价要求：工程量清单内的按照洞口数量及尺寸延长米组价材料费：（包含主布+纱+布带+静音轨道及褶皱系数）安装费，运输费，税费以及利润等一切费用。</w:t>
      </w:r>
    </w:p>
    <w:p w14:paraId="041BBF57">
      <w:pPr>
        <w:pStyle w:val="12"/>
        <w:numPr>
          <w:ilvl w:val="2"/>
          <w:numId w:val="0"/>
        </w:numPr>
        <w:tabs>
          <w:tab w:val="left" w:pos="879"/>
          <w:tab w:val="left" w:pos="1600"/>
        </w:tabs>
        <w:spacing w:line="360" w:lineRule="auto"/>
        <w:ind w:firstLine="240" w:firstLineChars="100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 w:eastAsia="宋体"/>
          <w:sz w:val="24"/>
          <w:lang w:val="en-US" w:eastAsia="zh-CN"/>
        </w:rPr>
        <w:t>2.结算要求：据实收方结算。</w:t>
      </w:r>
    </w:p>
    <w:p w14:paraId="0F8D20F2">
      <w:pPr>
        <w:numPr>
          <w:ilvl w:val="2"/>
          <w:numId w:val="0"/>
        </w:numPr>
        <w:tabs>
          <w:tab w:val="left" w:pos="879"/>
          <w:tab w:val="left" w:pos="1600"/>
        </w:tabs>
        <w:spacing w:line="360" w:lineRule="auto"/>
        <w:rPr>
          <w:rFonts w:ascii="宋体" w:eastAsia="宋体"/>
          <w:b/>
          <w:bCs/>
          <w:sz w:val="24"/>
        </w:rPr>
      </w:pPr>
      <w:r>
        <w:rPr>
          <w:rFonts w:hint="eastAsia" w:ascii="宋体" w:eastAsia="宋体"/>
          <w:b/>
          <w:bCs/>
          <w:sz w:val="24"/>
        </w:rPr>
        <w:t>四、技术要求：</w:t>
      </w:r>
    </w:p>
    <w:p w14:paraId="7D627B75">
      <w:pPr>
        <w:numPr>
          <w:ilvl w:val="0"/>
          <w:numId w:val="1"/>
        </w:numPr>
        <w:spacing w:line="48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本产品需符合中国船级社CCS工厂认证要求并提供证书；              </w:t>
      </w:r>
    </w:p>
    <w:p w14:paraId="61B4B815">
      <w:pPr>
        <w:numPr>
          <w:ilvl w:val="0"/>
          <w:numId w:val="1"/>
        </w:numPr>
        <w:spacing w:line="48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遮光率＞95%；成分：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100%聚酯纤维</w:t>
      </w:r>
      <w:r>
        <w:rPr>
          <w:rFonts w:hint="eastAsia" w:ascii="宋体" w:hAnsi="宋体" w:eastAsia="宋体" w:cs="宋体"/>
          <w:sz w:val="24"/>
          <w:szCs w:val="24"/>
        </w:rPr>
        <w:t>幅宽：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280CM</w:t>
      </w:r>
      <w:r>
        <w:rPr>
          <w:rFonts w:hint="eastAsia" w:ascii="宋体" w:hAnsi="宋体" w:eastAsia="宋体" w:cs="宋体"/>
          <w:sz w:val="24"/>
          <w:szCs w:val="24"/>
        </w:rPr>
        <w:t>克重：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410±10g/㎡</w:t>
      </w:r>
      <w:r>
        <w:rPr>
          <w:rFonts w:hint="eastAsia" w:ascii="宋体" w:hAnsi="宋体" w:eastAsia="宋体" w:cs="宋体"/>
          <w:sz w:val="24"/>
          <w:szCs w:val="24"/>
        </w:rPr>
        <w:t>、甲醛含量：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无</w:t>
      </w:r>
      <w:r>
        <w:rPr>
          <w:rFonts w:hint="eastAsia" w:ascii="宋体" w:hAnsi="宋体" w:eastAsia="宋体" w:cs="宋体"/>
          <w:sz w:val="24"/>
          <w:szCs w:val="24"/>
        </w:rPr>
        <w:t>、异味：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无</w:t>
      </w:r>
      <w:r>
        <w:rPr>
          <w:rFonts w:hint="eastAsia" w:ascii="宋体" w:hAnsi="宋体" w:eastAsia="宋体" w:cs="宋体"/>
          <w:sz w:val="24"/>
          <w:szCs w:val="24"/>
        </w:rPr>
        <w:t>耐摩擦色牢度：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≥4</w:t>
      </w:r>
      <w:r>
        <w:rPr>
          <w:rFonts w:hint="eastAsia" w:ascii="宋体" w:hAnsi="宋体" w:eastAsia="宋体" w:cs="宋体"/>
          <w:sz w:val="24"/>
          <w:szCs w:val="24"/>
        </w:rPr>
        <w:t>级、耐水色牢度：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≥4级</w:t>
      </w:r>
      <w:r>
        <w:rPr>
          <w:rFonts w:hint="eastAsia" w:ascii="宋体" w:hAnsi="宋体" w:eastAsia="宋体" w:cs="宋体"/>
          <w:sz w:val="24"/>
          <w:szCs w:val="24"/>
        </w:rPr>
        <w:t>、耐汗渍色牢度：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≥4级</w:t>
      </w:r>
      <w:r>
        <w:rPr>
          <w:rFonts w:hint="eastAsia" w:ascii="宋体" w:hAnsi="宋体" w:eastAsia="宋体" w:cs="宋体"/>
          <w:sz w:val="24"/>
          <w:szCs w:val="24"/>
        </w:rPr>
        <w:t>、耐洗色牢度：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≥4级</w:t>
      </w:r>
      <w:r>
        <w:rPr>
          <w:rFonts w:hint="eastAsia" w:ascii="宋体" w:hAnsi="宋体" w:eastAsia="宋体" w:cs="宋体"/>
          <w:sz w:val="24"/>
          <w:szCs w:val="24"/>
        </w:rPr>
        <w:t>、耐光色牢度：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≥4级</w:t>
      </w:r>
      <w:r>
        <w:rPr>
          <w:rFonts w:hint="eastAsia" w:ascii="宋体" w:hAnsi="宋体" w:eastAsia="宋体" w:cs="宋体"/>
          <w:sz w:val="24"/>
          <w:szCs w:val="24"/>
        </w:rPr>
        <w:t>、阻燃方式：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永久性阻燃</w:t>
      </w:r>
      <w:r>
        <w:rPr>
          <w:rFonts w:hint="eastAsia" w:ascii="宋体" w:hAnsi="宋体" w:eastAsia="宋体" w:cs="宋体"/>
          <w:sz w:val="24"/>
          <w:szCs w:val="24"/>
        </w:rPr>
        <w:t>、                                                                            3、阻燃标准：国际海事组织 2010年国际耐火试验程序应用规则(2010年 FTP 规则)，附件1耐火试验程序，第7部分垂直悬挂的纺织品和薄膜试验。</w:t>
      </w:r>
    </w:p>
    <w:p w14:paraId="20E0341B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环保要求：符合GB/T 35611-2017绿色产品认证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285A614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客区轨道采用超静音铝合金轨道，外层为铝合金，内层为纳米滑道，确保拉滑顺畅，坚固耐用。</w:t>
      </w:r>
    </w:p>
    <w:p w14:paraId="63A787E5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船员区罗马杆直径30-35毫米，壁厚1.0，承重要求15KG及以上，款式简洁大方。</w:t>
      </w:r>
    </w:p>
    <w:p w14:paraId="6D407631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w w:val="95"/>
          <w:sz w:val="24"/>
        </w:rPr>
        <w:t>五、</w:t>
      </w:r>
      <w:r>
        <w:rPr>
          <w:rFonts w:hint="eastAsia" w:asciiTheme="minorEastAsia" w:hAnsiTheme="minorEastAsia"/>
          <w:b/>
          <w:bCs/>
          <w:w w:val="95"/>
          <w:sz w:val="24"/>
          <w:lang w:val="en-US" w:eastAsia="zh-CN"/>
        </w:rPr>
        <w:t>其他要求</w:t>
      </w:r>
    </w:p>
    <w:p w14:paraId="462AB52D">
      <w:pPr>
        <w:pStyle w:val="5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a、</w:t>
      </w:r>
      <w:r>
        <w:rPr>
          <w:rFonts w:hint="eastAsia"/>
          <w:sz w:val="24"/>
          <w:szCs w:val="24"/>
          <w:lang w:val="en-US" w:eastAsia="zh-CN"/>
        </w:rPr>
        <w:t>中标单位合同签订后，立即测量洞口尺寸，确保产品的生产周期满足现场工期进度要求。</w:t>
      </w:r>
    </w:p>
    <w:p w14:paraId="59D2D94B">
      <w:pPr>
        <w:tabs>
          <w:tab w:val="left" w:pos="879"/>
          <w:tab w:val="left" w:pos="1720"/>
        </w:tabs>
        <w:spacing w:line="360" w:lineRule="auto"/>
        <w:ind w:firstLine="468" w:firstLineChars="200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/>
          <w:spacing w:val="-3"/>
          <w:sz w:val="24"/>
          <w:lang w:val="en-US" w:eastAsia="zh-CN"/>
        </w:rPr>
        <w:t>b</w:t>
      </w:r>
      <w:bookmarkStart w:id="1" w:name="_GoBack"/>
      <w:bookmarkEnd w:id="1"/>
      <w:r>
        <w:rPr>
          <w:rFonts w:hint="eastAsia" w:asciiTheme="minorEastAsia" w:hAnsiTheme="minorEastAsia"/>
          <w:spacing w:val="-3"/>
          <w:sz w:val="24"/>
        </w:rPr>
        <w:t>、甲方提供乙方的图纸、资料，如有修改并涉及到</w:t>
      </w:r>
      <w:r>
        <w:rPr>
          <w:rFonts w:hint="eastAsia" w:asciiTheme="minorEastAsia" w:hAnsiTheme="minorEastAsia"/>
          <w:spacing w:val="-3"/>
          <w:sz w:val="24"/>
          <w:lang w:val="en-US" w:eastAsia="zh-CN"/>
        </w:rPr>
        <w:t>变更更的</w:t>
      </w:r>
      <w:r>
        <w:rPr>
          <w:rFonts w:hint="eastAsia" w:asciiTheme="minorEastAsia" w:hAnsiTheme="minorEastAsia"/>
          <w:spacing w:val="-3"/>
          <w:sz w:val="24"/>
        </w:rPr>
        <w:t>，</w:t>
      </w:r>
      <w:r>
        <w:rPr>
          <w:rFonts w:hint="eastAsia" w:asciiTheme="minorEastAsia" w:hAnsiTheme="minorEastAsia"/>
          <w:spacing w:val="-117"/>
          <w:sz w:val="24"/>
        </w:rPr>
        <w:t xml:space="preserve"> </w:t>
      </w:r>
      <w:r>
        <w:rPr>
          <w:rFonts w:hint="eastAsia" w:asciiTheme="minorEastAsia" w:hAnsiTheme="minorEastAsia"/>
          <w:spacing w:val="-1"/>
          <w:sz w:val="24"/>
        </w:rPr>
        <w:t>甲方应及时通知乙方，乙方接到通知后应及时作出修改，若乙方认为甲方提供图纸有不足之处或错误，应及时反馈给甲方，供甲方确认和作出相</w:t>
      </w:r>
      <w:r>
        <w:rPr>
          <w:rFonts w:hint="eastAsia" w:asciiTheme="minorEastAsia" w:hAnsiTheme="minorEastAsia"/>
          <w:sz w:val="24"/>
        </w:rPr>
        <w:t>应修改。</w:t>
      </w:r>
    </w:p>
    <w:sectPr>
      <w:pgSz w:w="11906" w:h="16838"/>
      <w:pgMar w:top="1440" w:right="130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7BFB9"/>
    <w:multiLevelType w:val="singleLevel"/>
    <w:tmpl w:val="8987BFB9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A2F7EBAA"/>
    <w:multiLevelType w:val="multilevel"/>
    <w:tmpl w:val="A2F7EBAA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  <w:docVar w:name="KSO_WPS_MARK_KEY" w:val="7f1f39a6-3721-43fa-aaee-6eb9ecc32bbe"/>
  </w:docVars>
  <w:rsids>
    <w:rsidRoot w:val="32B4010A"/>
    <w:rsid w:val="00006210"/>
    <w:rsid w:val="000300AE"/>
    <w:rsid w:val="000510C6"/>
    <w:rsid w:val="000536D9"/>
    <w:rsid w:val="00065FE9"/>
    <w:rsid w:val="00070937"/>
    <w:rsid w:val="00076CD8"/>
    <w:rsid w:val="000908FF"/>
    <w:rsid w:val="000A2C6D"/>
    <w:rsid w:val="000C1299"/>
    <w:rsid w:val="000C13CB"/>
    <w:rsid w:val="000F69D3"/>
    <w:rsid w:val="0010717C"/>
    <w:rsid w:val="001242A4"/>
    <w:rsid w:val="00136C62"/>
    <w:rsid w:val="00170536"/>
    <w:rsid w:val="001A084F"/>
    <w:rsid w:val="001D0045"/>
    <w:rsid w:val="001E4361"/>
    <w:rsid w:val="001F52E2"/>
    <w:rsid w:val="00217916"/>
    <w:rsid w:val="00241376"/>
    <w:rsid w:val="002540D9"/>
    <w:rsid w:val="00287C42"/>
    <w:rsid w:val="002C7DB7"/>
    <w:rsid w:val="002D77D7"/>
    <w:rsid w:val="003214FC"/>
    <w:rsid w:val="003854D8"/>
    <w:rsid w:val="003943A9"/>
    <w:rsid w:val="003C69B1"/>
    <w:rsid w:val="003D59D1"/>
    <w:rsid w:val="003E1236"/>
    <w:rsid w:val="003E12EC"/>
    <w:rsid w:val="00410D0C"/>
    <w:rsid w:val="00435CD1"/>
    <w:rsid w:val="004578F8"/>
    <w:rsid w:val="00466CDB"/>
    <w:rsid w:val="004A156B"/>
    <w:rsid w:val="004F2C74"/>
    <w:rsid w:val="00505B1E"/>
    <w:rsid w:val="005216E6"/>
    <w:rsid w:val="00560800"/>
    <w:rsid w:val="0056238C"/>
    <w:rsid w:val="00582712"/>
    <w:rsid w:val="00583CE3"/>
    <w:rsid w:val="005A1A20"/>
    <w:rsid w:val="00600E03"/>
    <w:rsid w:val="0061192A"/>
    <w:rsid w:val="00633068"/>
    <w:rsid w:val="006631FA"/>
    <w:rsid w:val="006704C1"/>
    <w:rsid w:val="006E19FF"/>
    <w:rsid w:val="006E4D2F"/>
    <w:rsid w:val="00707A8F"/>
    <w:rsid w:val="007D1FD5"/>
    <w:rsid w:val="007E75E5"/>
    <w:rsid w:val="007F2173"/>
    <w:rsid w:val="00825181"/>
    <w:rsid w:val="008643BE"/>
    <w:rsid w:val="00876C16"/>
    <w:rsid w:val="008B5657"/>
    <w:rsid w:val="008C0025"/>
    <w:rsid w:val="008C7C5B"/>
    <w:rsid w:val="008E3EE1"/>
    <w:rsid w:val="0092256A"/>
    <w:rsid w:val="00925047"/>
    <w:rsid w:val="0097115A"/>
    <w:rsid w:val="00975B1C"/>
    <w:rsid w:val="009D325E"/>
    <w:rsid w:val="00A3616D"/>
    <w:rsid w:val="00A46811"/>
    <w:rsid w:val="00A765A2"/>
    <w:rsid w:val="00A81C23"/>
    <w:rsid w:val="00A820BE"/>
    <w:rsid w:val="00A84CE3"/>
    <w:rsid w:val="00AD0F61"/>
    <w:rsid w:val="00BB060A"/>
    <w:rsid w:val="00BF30F3"/>
    <w:rsid w:val="00C51EB2"/>
    <w:rsid w:val="00C57CF2"/>
    <w:rsid w:val="00CB4CC3"/>
    <w:rsid w:val="00D22623"/>
    <w:rsid w:val="00D57311"/>
    <w:rsid w:val="00D95F7C"/>
    <w:rsid w:val="00DE72A2"/>
    <w:rsid w:val="00E573CF"/>
    <w:rsid w:val="00EB6431"/>
    <w:rsid w:val="00ED52AB"/>
    <w:rsid w:val="00EE0857"/>
    <w:rsid w:val="00EE14B7"/>
    <w:rsid w:val="00EF75A3"/>
    <w:rsid w:val="00F44706"/>
    <w:rsid w:val="00F577C6"/>
    <w:rsid w:val="00F7727F"/>
    <w:rsid w:val="00FA6377"/>
    <w:rsid w:val="00FA733B"/>
    <w:rsid w:val="00FB2B90"/>
    <w:rsid w:val="00FD7522"/>
    <w:rsid w:val="01E15471"/>
    <w:rsid w:val="02036027"/>
    <w:rsid w:val="03E3603C"/>
    <w:rsid w:val="0486237A"/>
    <w:rsid w:val="0493639C"/>
    <w:rsid w:val="0AA35167"/>
    <w:rsid w:val="0ABC77DF"/>
    <w:rsid w:val="102F41AB"/>
    <w:rsid w:val="10565DD5"/>
    <w:rsid w:val="10C77CA2"/>
    <w:rsid w:val="113F6566"/>
    <w:rsid w:val="144343BB"/>
    <w:rsid w:val="15800741"/>
    <w:rsid w:val="167F4F9F"/>
    <w:rsid w:val="1B105CE0"/>
    <w:rsid w:val="1B9D62D7"/>
    <w:rsid w:val="1D1F1166"/>
    <w:rsid w:val="1DF63C75"/>
    <w:rsid w:val="1E3B5B2B"/>
    <w:rsid w:val="1E473C7D"/>
    <w:rsid w:val="221A3574"/>
    <w:rsid w:val="23694A22"/>
    <w:rsid w:val="237D2742"/>
    <w:rsid w:val="23D22A8E"/>
    <w:rsid w:val="27513834"/>
    <w:rsid w:val="27C748D4"/>
    <w:rsid w:val="29427BDB"/>
    <w:rsid w:val="2C72071A"/>
    <w:rsid w:val="2D0D65D5"/>
    <w:rsid w:val="2D6B2A68"/>
    <w:rsid w:val="2E6860C1"/>
    <w:rsid w:val="2FAE51DD"/>
    <w:rsid w:val="301306B6"/>
    <w:rsid w:val="32B4010A"/>
    <w:rsid w:val="357D387B"/>
    <w:rsid w:val="3AFB6916"/>
    <w:rsid w:val="3C797AF3"/>
    <w:rsid w:val="3FEE07F8"/>
    <w:rsid w:val="40B72B7D"/>
    <w:rsid w:val="426A7922"/>
    <w:rsid w:val="44ED1049"/>
    <w:rsid w:val="44F248E6"/>
    <w:rsid w:val="451D593A"/>
    <w:rsid w:val="4732546E"/>
    <w:rsid w:val="4B087FF0"/>
    <w:rsid w:val="4F7364FD"/>
    <w:rsid w:val="50740BD9"/>
    <w:rsid w:val="51BC1824"/>
    <w:rsid w:val="547B7F6B"/>
    <w:rsid w:val="566B01D5"/>
    <w:rsid w:val="571121C1"/>
    <w:rsid w:val="5A9F6E67"/>
    <w:rsid w:val="5BDE2D4A"/>
    <w:rsid w:val="5C693288"/>
    <w:rsid w:val="5D700B5C"/>
    <w:rsid w:val="61502F36"/>
    <w:rsid w:val="62095AE4"/>
    <w:rsid w:val="63352116"/>
    <w:rsid w:val="638B7F88"/>
    <w:rsid w:val="63A06FA5"/>
    <w:rsid w:val="63EA4588"/>
    <w:rsid w:val="649410BE"/>
    <w:rsid w:val="64B43D4D"/>
    <w:rsid w:val="66213339"/>
    <w:rsid w:val="666F5E1C"/>
    <w:rsid w:val="689E42BA"/>
    <w:rsid w:val="69557DDE"/>
    <w:rsid w:val="69CF6015"/>
    <w:rsid w:val="6AA63FE7"/>
    <w:rsid w:val="6AFD5EF3"/>
    <w:rsid w:val="6BF63D3D"/>
    <w:rsid w:val="6C634627"/>
    <w:rsid w:val="77C6382D"/>
    <w:rsid w:val="77D93560"/>
    <w:rsid w:val="78015086"/>
    <w:rsid w:val="7A8D0632"/>
    <w:rsid w:val="7BA75723"/>
    <w:rsid w:val="7C653614"/>
    <w:rsid w:val="7D17400F"/>
    <w:rsid w:val="7D1943FF"/>
    <w:rsid w:val="7EE22D7C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7"/>
      <w:ind w:left="1301" w:hanging="422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">
    <w:name w:val="heading 2"/>
    <w:basedOn w:val="1"/>
    <w:next w:val="1"/>
    <w:qFormat/>
    <w:uiPriority w:val="9"/>
    <w:pPr>
      <w:outlineLvl w:val="1"/>
    </w:pPr>
    <w:rPr>
      <w:rFonts w:eastAsia="微软雅黑"/>
      <w:b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15">
    <w:name w:val="招标文件1.1.1.1"/>
    <w:basedOn w:val="1"/>
    <w:qFormat/>
    <w:uiPriority w:val="0"/>
    <w:pPr>
      <w:spacing w:before="120" w:after="120" w:line="480" w:lineRule="exact"/>
      <w:ind w:left="284"/>
      <w:jc w:val="left"/>
      <w:outlineLvl w:val="4"/>
    </w:pPr>
    <w:rPr>
      <w:rFonts w:ascii="宋体" w:hAnsi="Times New Roman"/>
      <w:b/>
      <w:spacing w:val="10"/>
      <w:w w:val="95"/>
      <w:szCs w:val="21"/>
    </w:rPr>
  </w:style>
  <w:style w:type="paragraph" w:customStyle="1" w:styleId="16">
    <w:name w:val="标题4"/>
    <w:basedOn w:val="1"/>
    <w:qFormat/>
    <w:uiPriority w:val="0"/>
    <w:pPr>
      <w:spacing w:line="440" w:lineRule="exact"/>
      <w:jc w:val="left"/>
    </w:pPr>
    <w:rPr>
      <w:rFonts w:ascii="Times New Roman" w:hAnsi="Times New Roman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1044</Words>
  <Characters>1205</Characters>
  <Lines>26</Lines>
  <Paragraphs>7</Paragraphs>
  <TotalTime>20</TotalTime>
  <ScaleCrop>false</ScaleCrop>
  <LinksUpToDate>false</LinksUpToDate>
  <CharactersWithSpaces>1329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2025-04-29T06:05:00Z</dcterms:created>
  <dc:creator>HP</dc:creator>
  <cp:lastModifiedBy>李文畅</cp:lastModifiedBy>
  <dcterms:modified xsi:type="dcterms:W3CDTF">2026-01-16T02:11:42Z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5442F3F086034D549A20D596E07F94DB_13</vt:lpwstr>
  </property>
  <property fmtid="{D5CDD505-2E9C-101B-9397-08002B2CF9AE}" pid="4" name="KSOTemplateDocerSaveRecord">
    <vt:lpwstr>eyJoZGlkIjoiNjI4MWNmNTZjOWJjZDczMmYxZDBhYTRlN2UzMzJjOGQiLCJ1c2VySWQiOiIxNzY1Mzg0MjkwIn0=</vt:lpwstr>
  </property>
</Properties>
</file>