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683D6" w14:textId="77777777" w:rsidR="000F1839" w:rsidRDefault="000F1839" w:rsidP="000F1839">
      <w:pPr>
        <w:jc w:val="center"/>
        <w:rPr>
          <w:rFonts w:ascii="方正仿宋_GBK" w:eastAsia="方正仿宋_GBK" w:hAnsi="方正仿宋_GBK" w:cs="方正仿宋_GBK"/>
        </w:rPr>
      </w:pPr>
    </w:p>
    <w:p w14:paraId="590CA62C" w14:textId="77777777" w:rsidR="000F1839" w:rsidRDefault="000F1839" w:rsidP="000F1839">
      <w:pPr>
        <w:jc w:val="center"/>
        <w:rPr>
          <w:rFonts w:ascii="宋体" w:hAnsi="宋体"/>
          <w:sz w:val="72"/>
          <w:szCs w:val="72"/>
        </w:rPr>
      </w:pPr>
      <w:r>
        <w:rPr>
          <w:rFonts w:ascii="宋体" w:hAnsi="宋体" w:hint="eastAsia"/>
          <w:sz w:val="72"/>
          <w:szCs w:val="72"/>
        </w:rPr>
        <w:t>150米三峡游轮</w:t>
      </w:r>
    </w:p>
    <w:p w14:paraId="554FC285" w14:textId="77777777" w:rsidR="000F1839" w:rsidRDefault="000F1839" w:rsidP="000F1839">
      <w:pPr>
        <w:jc w:val="center"/>
        <w:rPr>
          <w:rFonts w:ascii="宋体" w:hAnsi="宋体"/>
          <w:sz w:val="72"/>
          <w:szCs w:val="72"/>
        </w:rPr>
      </w:pPr>
      <w:r>
        <w:rPr>
          <w:rFonts w:ascii="宋体" w:hAnsi="宋体" w:hint="eastAsia"/>
          <w:sz w:val="72"/>
          <w:szCs w:val="72"/>
        </w:rPr>
        <w:t>商用电视</w:t>
      </w:r>
    </w:p>
    <w:p w14:paraId="6FE64EAA" w14:textId="77777777" w:rsidR="000F1839" w:rsidRDefault="000F1839" w:rsidP="000F1839">
      <w:pPr>
        <w:spacing w:line="360" w:lineRule="auto"/>
        <w:jc w:val="center"/>
        <w:rPr>
          <w:rFonts w:ascii="宋体" w:hAnsi="宋体"/>
          <w:sz w:val="56"/>
          <w:szCs w:val="56"/>
        </w:rPr>
      </w:pPr>
    </w:p>
    <w:p w14:paraId="2758AAF4" w14:textId="77777777" w:rsidR="009D470A" w:rsidRDefault="000F1839" w:rsidP="000F1839">
      <w:pPr>
        <w:spacing w:line="1500" w:lineRule="exact"/>
        <w:jc w:val="center"/>
        <w:rPr>
          <w:rFonts w:ascii="宋体" w:hAnsi="宋体"/>
          <w:b/>
          <w:bCs/>
          <w:sz w:val="72"/>
          <w:szCs w:val="72"/>
        </w:rPr>
      </w:pPr>
      <w:r>
        <w:rPr>
          <w:rFonts w:ascii="宋体" w:hAnsi="宋体" w:hint="eastAsia"/>
          <w:b/>
          <w:bCs/>
          <w:sz w:val="72"/>
          <w:szCs w:val="72"/>
        </w:rPr>
        <w:t>技术协议</w:t>
      </w:r>
    </w:p>
    <w:p w14:paraId="7A2431BC" w14:textId="0FA311CF" w:rsidR="000F1839" w:rsidRDefault="00F818BD" w:rsidP="000F1839">
      <w:pPr>
        <w:spacing w:line="1500" w:lineRule="exact"/>
        <w:jc w:val="center"/>
        <w:rPr>
          <w:rFonts w:ascii="宋体" w:hAnsi="宋体"/>
          <w:b/>
          <w:bCs/>
          <w:sz w:val="72"/>
          <w:szCs w:val="72"/>
        </w:rPr>
      </w:pPr>
      <w:r>
        <w:rPr>
          <w:rFonts w:ascii="宋体" w:hAnsi="宋体" w:hint="eastAsia"/>
          <w:b/>
          <w:bCs/>
          <w:sz w:val="72"/>
          <w:szCs w:val="72"/>
        </w:rPr>
        <w:t>及报价须知</w:t>
      </w:r>
    </w:p>
    <w:p w14:paraId="51A3075F" w14:textId="77777777" w:rsidR="009D470A" w:rsidRDefault="009D470A" w:rsidP="000F1839">
      <w:pPr>
        <w:spacing w:line="1500" w:lineRule="exact"/>
        <w:jc w:val="center"/>
        <w:rPr>
          <w:rFonts w:ascii="宋体" w:hAnsi="宋体"/>
          <w:b/>
          <w:bCs/>
          <w:sz w:val="72"/>
          <w:szCs w:val="72"/>
        </w:rPr>
      </w:pPr>
    </w:p>
    <w:p w14:paraId="28A87CA0" w14:textId="77777777" w:rsidR="009D470A" w:rsidRDefault="009D470A" w:rsidP="000F1839">
      <w:pPr>
        <w:spacing w:line="1500" w:lineRule="exact"/>
        <w:jc w:val="center"/>
        <w:rPr>
          <w:rFonts w:ascii="宋体" w:hAnsi="宋体"/>
          <w:b/>
          <w:bCs/>
          <w:sz w:val="56"/>
          <w:szCs w:val="56"/>
        </w:rPr>
      </w:pPr>
    </w:p>
    <w:p w14:paraId="5994F381" w14:textId="77777777" w:rsidR="000F1839" w:rsidRPr="007825EB" w:rsidRDefault="000F1839" w:rsidP="000F1839">
      <w:pPr>
        <w:spacing w:line="360" w:lineRule="auto"/>
        <w:rPr>
          <w:rFonts w:ascii="等线" w:eastAsia="等线" w:hAnsi="等线"/>
          <w:b/>
          <w:bCs/>
          <w:sz w:val="24"/>
          <w:szCs w:val="22"/>
        </w:rPr>
      </w:pPr>
    </w:p>
    <w:p w14:paraId="424E7F98" w14:textId="77777777" w:rsidR="000F1839" w:rsidRPr="007825EB" w:rsidRDefault="000F1839" w:rsidP="000F1839">
      <w:pPr>
        <w:spacing w:line="360" w:lineRule="auto"/>
        <w:rPr>
          <w:rFonts w:ascii="等线" w:hAnsi="等线"/>
          <w:b/>
          <w:bCs/>
          <w:sz w:val="24"/>
        </w:rPr>
      </w:pPr>
    </w:p>
    <w:p w14:paraId="5881BAFE" w14:textId="77777777" w:rsidR="000F1839" w:rsidRPr="007825EB" w:rsidRDefault="000F1839" w:rsidP="000F1839">
      <w:pPr>
        <w:spacing w:line="360" w:lineRule="auto"/>
        <w:rPr>
          <w:rFonts w:ascii="等线" w:hAnsi="等线"/>
          <w:b/>
          <w:bCs/>
          <w:sz w:val="24"/>
        </w:rPr>
      </w:pPr>
    </w:p>
    <w:p w14:paraId="03EF74C6" w14:textId="77777777" w:rsidR="000F1839" w:rsidRPr="007825EB" w:rsidRDefault="000F1839" w:rsidP="000F1839">
      <w:pPr>
        <w:snapToGrid w:val="0"/>
        <w:spacing w:line="400" w:lineRule="exact"/>
        <w:ind w:firstLineChars="400" w:firstLine="1205"/>
        <w:jc w:val="left"/>
        <w:rPr>
          <w:rFonts w:ascii="宋体" w:hAnsi="等线"/>
          <w:b/>
          <w:sz w:val="30"/>
          <w:szCs w:val="30"/>
        </w:rPr>
      </w:pPr>
      <w:r>
        <w:rPr>
          <w:rFonts w:ascii="宋体" w:hint="eastAsia"/>
          <w:b/>
          <w:sz w:val="30"/>
          <w:szCs w:val="30"/>
        </w:rPr>
        <w:t>船    东：重庆交运游轮有限公司</w:t>
      </w:r>
    </w:p>
    <w:p w14:paraId="145F82E2" w14:textId="77777777" w:rsidR="000F1839" w:rsidRDefault="000F1839" w:rsidP="000F1839">
      <w:pPr>
        <w:snapToGrid w:val="0"/>
        <w:spacing w:line="400" w:lineRule="exact"/>
        <w:ind w:firstLineChars="400" w:firstLine="1205"/>
        <w:jc w:val="left"/>
        <w:rPr>
          <w:rFonts w:ascii="宋体"/>
          <w:b/>
          <w:sz w:val="30"/>
          <w:szCs w:val="30"/>
        </w:rPr>
      </w:pPr>
      <w:r>
        <w:rPr>
          <w:rFonts w:ascii="宋体" w:hint="eastAsia"/>
          <w:b/>
          <w:sz w:val="30"/>
          <w:szCs w:val="30"/>
        </w:rPr>
        <w:t>代表签字：</w:t>
      </w:r>
    </w:p>
    <w:p w14:paraId="2F2CDF5C" w14:textId="77777777" w:rsidR="000F1839" w:rsidRDefault="000F1839" w:rsidP="000F1839">
      <w:pPr>
        <w:snapToGrid w:val="0"/>
        <w:spacing w:line="400" w:lineRule="exact"/>
        <w:jc w:val="left"/>
        <w:rPr>
          <w:rFonts w:ascii="宋体"/>
          <w:b/>
          <w:sz w:val="30"/>
          <w:szCs w:val="30"/>
        </w:rPr>
      </w:pPr>
      <w:r>
        <w:rPr>
          <w:rFonts w:ascii="宋体" w:hint="eastAsia"/>
          <w:b/>
          <w:sz w:val="30"/>
          <w:szCs w:val="30"/>
        </w:rPr>
        <w:t xml:space="preserve"> </w:t>
      </w:r>
    </w:p>
    <w:p w14:paraId="67819C4B" w14:textId="77777777" w:rsidR="000F1839" w:rsidRDefault="000F1839" w:rsidP="000F1839">
      <w:pPr>
        <w:snapToGrid w:val="0"/>
        <w:spacing w:line="400" w:lineRule="exact"/>
        <w:ind w:firstLineChars="400" w:firstLine="1205"/>
        <w:jc w:val="left"/>
        <w:rPr>
          <w:rFonts w:ascii="宋体"/>
          <w:b/>
          <w:sz w:val="30"/>
          <w:szCs w:val="30"/>
        </w:rPr>
      </w:pPr>
      <w:r>
        <w:rPr>
          <w:rFonts w:ascii="宋体" w:hint="eastAsia"/>
          <w:b/>
          <w:sz w:val="30"/>
          <w:szCs w:val="30"/>
        </w:rPr>
        <w:t>船    厂：重庆中江船业有限公司</w:t>
      </w:r>
    </w:p>
    <w:p w14:paraId="7255DB36" w14:textId="77777777" w:rsidR="000F1839" w:rsidRDefault="000F1839" w:rsidP="000F1839">
      <w:pPr>
        <w:snapToGrid w:val="0"/>
        <w:spacing w:line="400" w:lineRule="exact"/>
        <w:ind w:firstLineChars="400" w:firstLine="1205"/>
        <w:jc w:val="left"/>
        <w:rPr>
          <w:rFonts w:ascii="宋体"/>
          <w:b/>
          <w:sz w:val="30"/>
          <w:szCs w:val="30"/>
        </w:rPr>
      </w:pPr>
      <w:r>
        <w:rPr>
          <w:rFonts w:ascii="宋体" w:hint="eastAsia"/>
          <w:b/>
          <w:sz w:val="30"/>
          <w:szCs w:val="30"/>
        </w:rPr>
        <w:t>代表签字：</w:t>
      </w:r>
    </w:p>
    <w:p w14:paraId="62C78B05" w14:textId="77777777" w:rsidR="000F1839" w:rsidRDefault="000F1839" w:rsidP="000F1839">
      <w:pPr>
        <w:snapToGrid w:val="0"/>
        <w:spacing w:line="400" w:lineRule="exact"/>
        <w:jc w:val="left"/>
        <w:rPr>
          <w:rFonts w:ascii="宋体"/>
          <w:b/>
          <w:sz w:val="30"/>
          <w:szCs w:val="30"/>
        </w:rPr>
      </w:pPr>
      <w:r>
        <w:rPr>
          <w:rFonts w:ascii="宋体" w:hint="eastAsia"/>
          <w:b/>
          <w:sz w:val="30"/>
          <w:szCs w:val="30"/>
        </w:rPr>
        <w:t xml:space="preserve"> </w:t>
      </w:r>
    </w:p>
    <w:p w14:paraId="1C2D27F1" w14:textId="77777777" w:rsidR="000F1839" w:rsidRDefault="000F1839" w:rsidP="000F1839">
      <w:pPr>
        <w:snapToGrid w:val="0"/>
        <w:spacing w:line="400" w:lineRule="exact"/>
        <w:ind w:firstLineChars="400" w:firstLine="1205"/>
        <w:jc w:val="left"/>
        <w:rPr>
          <w:rFonts w:ascii="宋体"/>
          <w:b/>
          <w:sz w:val="30"/>
          <w:szCs w:val="30"/>
        </w:rPr>
      </w:pPr>
      <w:r>
        <w:rPr>
          <w:rFonts w:ascii="宋体" w:hint="eastAsia"/>
          <w:b/>
          <w:sz w:val="30"/>
          <w:szCs w:val="30"/>
        </w:rPr>
        <w:t xml:space="preserve">供 应 商： </w:t>
      </w:r>
    </w:p>
    <w:p w14:paraId="0B621C53" w14:textId="77777777" w:rsidR="000F1839" w:rsidRDefault="000F1839" w:rsidP="000F1839">
      <w:pPr>
        <w:snapToGrid w:val="0"/>
        <w:spacing w:line="400" w:lineRule="exact"/>
        <w:ind w:firstLineChars="400" w:firstLine="1205"/>
        <w:jc w:val="left"/>
        <w:rPr>
          <w:rFonts w:ascii="宋体"/>
          <w:b/>
          <w:sz w:val="30"/>
          <w:szCs w:val="30"/>
        </w:rPr>
      </w:pPr>
      <w:r>
        <w:rPr>
          <w:rFonts w:ascii="宋体" w:hint="eastAsia"/>
          <w:b/>
          <w:sz w:val="30"/>
          <w:szCs w:val="30"/>
        </w:rPr>
        <w:t>代表签字：</w:t>
      </w:r>
    </w:p>
    <w:p w14:paraId="4DE5527A" w14:textId="77777777" w:rsidR="000F1839" w:rsidRDefault="000F1839" w:rsidP="000F1839">
      <w:pPr>
        <w:pStyle w:val="TOC2"/>
        <w:tabs>
          <w:tab w:val="right" w:leader="dot" w:pos="9402"/>
        </w:tabs>
        <w:spacing w:line="240" w:lineRule="auto"/>
        <w:jc w:val="center"/>
        <w:rPr>
          <w:rFonts w:ascii="方正仿宋_GBK" w:eastAsia="方正仿宋_GBK" w:hAnsi="方正仿宋_GBK" w:cs="方正仿宋_GBK"/>
          <w:sz w:val="18"/>
          <w:szCs w:val="22"/>
        </w:rPr>
        <w:sectPr w:rsidR="000F1839" w:rsidSect="000F1839">
          <w:pgSz w:w="11907" w:h="16840"/>
          <w:pgMar w:top="1134" w:right="1191" w:bottom="1134" w:left="1304" w:header="851" w:footer="992" w:gutter="0"/>
          <w:pgNumType w:fmt="numberInDash" w:start="1"/>
          <w:cols w:space="720"/>
          <w:docGrid w:linePitch="381" w:charSpace="-5735"/>
        </w:sectPr>
      </w:pPr>
    </w:p>
    <w:p w14:paraId="7199E03E" w14:textId="77777777" w:rsidR="000F1839" w:rsidRDefault="000F1839" w:rsidP="000F1839">
      <w:pPr>
        <w:pStyle w:val="15"/>
        <w:numPr>
          <w:ilvl w:val="0"/>
          <w:numId w:val="0"/>
        </w:numPr>
        <w:spacing w:line="360" w:lineRule="auto"/>
        <w:ind w:leftChars="200" w:left="560"/>
      </w:pPr>
      <w:bookmarkStart w:id="0" w:name="_Toc28777"/>
      <w:bookmarkStart w:id="1" w:name="_Toc14364"/>
      <w:bookmarkStart w:id="2" w:name="_Toc32229"/>
      <w:bookmarkStart w:id="3" w:name="_Toc3034"/>
      <w:bookmarkStart w:id="4" w:name="_Toc76462324"/>
      <w:bookmarkStart w:id="5" w:name="_Toc9509"/>
      <w:bookmarkStart w:id="6" w:name="_Toc4179"/>
      <w:bookmarkStart w:id="7" w:name="_Toc10794"/>
      <w:bookmarkStart w:id="8" w:name="_Toc13833"/>
      <w:bookmarkStart w:id="9" w:name="_Toc27254"/>
      <w:bookmarkStart w:id="10" w:name="_Toc20272"/>
      <w:bookmarkStart w:id="11" w:name="_Toc25352"/>
      <w:bookmarkStart w:id="12" w:name="_Toc11868"/>
      <w:bookmarkStart w:id="13" w:name="_Toc27402"/>
      <w:bookmarkStart w:id="14" w:name="_Toc2126"/>
      <w:bookmarkStart w:id="15" w:name="_Toc30428"/>
      <w:bookmarkStart w:id="16" w:name="_Toc19283"/>
      <w:bookmarkStart w:id="17" w:name="_Toc2929"/>
      <w:bookmarkStart w:id="18" w:name="_Toc5060"/>
      <w:bookmarkStart w:id="19" w:name="_Toc9887"/>
    </w:p>
    <w:p w14:paraId="373CA721" w14:textId="77777777" w:rsidR="000F1839" w:rsidRDefault="000F1839" w:rsidP="000F1839">
      <w:pPr>
        <w:pStyle w:val="15"/>
        <w:numPr>
          <w:ilvl w:val="0"/>
          <w:numId w:val="0"/>
        </w:numPr>
        <w:spacing w:line="360" w:lineRule="auto"/>
        <w:ind w:leftChars="200" w:left="560"/>
      </w:pPr>
      <w:r>
        <w:rPr>
          <w:rFonts w:hint="eastAsia"/>
        </w:rPr>
        <w:t>一、项目概述</w:t>
      </w:r>
      <w:bookmarkEnd w:id="0"/>
    </w:p>
    <w:p w14:paraId="2CE47987" w14:textId="77777777" w:rsidR="000F1839" w:rsidRPr="00F54D45" w:rsidRDefault="000F1839" w:rsidP="000F1839">
      <w:pPr>
        <w:spacing w:after="60" w:line="360" w:lineRule="auto"/>
        <w:ind w:firstLineChars="200" w:firstLine="480"/>
        <w:rPr>
          <w:rFonts w:ascii="宋体" w:hAnsi="宋体"/>
          <w:sz w:val="24"/>
          <w:szCs w:val="24"/>
        </w:rPr>
      </w:pPr>
      <w:r w:rsidRPr="00F54D45">
        <w:rPr>
          <w:rFonts w:ascii="宋体" w:hAnsi="宋体" w:hint="eastAsia"/>
          <w:sz w:val="24"/>
          <w:szCs w:val="24"/>
        </w:rPr>
        <w:t>重庆中江船业有限公司建造的“重轮长江云帆”游轮，船长149.98米，共设至302间客房，载客650人。</w:t>
      </w:r>
      <w:bookmarkStart w:id="20" w:name="OLE_LINK6"/>
      <w:r w:rsidRPr="00F54D45">
        <w:rPr>
          <w:rFonts w:ascii="宋体" w:hAnsi="宋体" w:hint="eastAsia"/>
          <w:sz w:val="24"/>
          <w:szCs w:val="24"/>
        </w:rPr>
        <w:t>拟</w:t>
      </w:r>
      <w:r>
        <w:rPr>
          <w:rFonts w:ascii="宋体" w:hAnsi="宋体" w:hint="eastAsia"/>
          <w:sz w:val="24"/>
          <w:szCs w:val="24"/>
        </w:rPr>
        <w:t>采购</w:t>
      </w:r>
      <w:r w:rsidRPr="00F54D45">
        <w:rPr>
          <w:rFonts w:ascii="宋体" w:hAnsi="宋体" w:hint="eastAsia"/>
          <w:sz w:val="24"/>
          <w:szCs w:val="24"/>
        </w:rPr>
        <w:t>全船</w:t>
      </w:r>
      <w:r>
        <w:rPr>
          <w:rFonts w:ascii="宋体" w:hAnsi="宋体" w:hint="eastAsia"/>
          <w:sz w:val="24"/>
          <w:szCs w:val="24"/>
        </w:rPr>
        <w:t>酒店智能电视</w:t>
      </w:r>
      <w:bookmarkEnd w:id="20"/>
      <w:r w:rsidRPr="00F54D45">
        <w:rPr>
          <w:rFonts w:ascii="宋体" w:hAnsi="宋体" w:hint="eastAsia"/>
          <w:sz w:val="24"/>
          <w:szCs w:val="24"/>
        </w:rPr>
        <w:t>以满足船舶功能需求和客人娱乐需求。</w:t>
      </w:r>
    </w:p>
    <w:p w14:paraId="5416F008" w14:textId="77777777" w:rsidR="000F1839" w:rsidRDefault="000F1839" w:rsidP="000F1839">
      <w:pPr>
        <w:pStyle w:val="15"/>
        <w:numPr>
          <w:ilvl w:val="0"/>
          <w:numId w:val="2"/>
        </w:numPr>
        <w:spacing w:line="360" w:lineRule="auto"/>
        <w:ind w:leftChars="200" w:left="560"/>
      </w:pPr>
      <w:bookmarkStart w:id="21" w:name="_Toc14332"/>
      <w:r>
        <w:rPr>
          <w:rFonts w:hint="eastAsia"/>
        </w:rPr>
        <w:t>项目要求</w:t>
      </w:r>
      <w:bookmarkEnd w:id="21"/>
    </w:p>
    <w:p w14:paraId="0F034165" w14:textId="77777777" w:rsidR="000F1839" w:rsidRDefault="000F1839" w:rsidP="000F1839">
      <w:pPr>
        <w:spacing w:after="60" w:line="360" w:lineRule="auto"/>
        <w:ind w:firstLineChars="200" w:firstLine="480"/>
        <w:rPr>
          <w:rFonts w:ascii="宋体" w:hAnsi="宋体"/>
          <w:sz w:val="24"/>
          <w:szCs w:val="24"/>
        </w:rPr>
      </w:pPr>
      <w:r>
        <w:rPr>
          <w:rFonts w:ascii="宋体" w:hAnsi="宋体" w:hint="eastAsia"/>
          <w:sz w:val="24"/>
          <w:szCs w:val="24"/>
        </w:rPr>
        <w:t>总体要求所供可刷机电视，要求先进、可靠、节能，要符合国家和行业相关标准，要充分考虑船舶各个区域的实际情况，要求具备较高的性价比和适应性，最终效果要与装饰风格相适应和匹配。</w:t>
      </w:r>
    </w:p>
    <w:p w14:paraId="0AF0750B" w14:textId="77777777" w:rsidR="000F1839" w:rsidRDefault="000F1839" w:rsidP="000F1839">
      <w:pPr>
        <w:pStyle w:val="15"/>
        <w:numPr>
          <w:ilvl w:val="0"/>
          <w:numId w:val="0"/>
        </w:numPr>
        <w:spacing w:line="360" w:lineRule="auto"/>
        <w:ind w:leftChars="200" w:left="560"/>
      </w:pPr>
      <w:r>
        <w:rPr>
          <w:rFonts w:hint="eastAsia"/>
        </w:rPr>
        <w:t>三、</w:t>
      </w:r>
      <w:bookmarkStart w:id="22" w:name="_Toc17902"/>
      <w:r>
        <w:rPr>
          <w:rFonts w:hint="eastAsia"/>
        </w:rPr>
        <w:t>服务要求</w:t>
      </w:r>
      <w:bookmarkEnd w:id="22"/>
    </w:p>
    <w:p w14:paraId="45C6E70F" w14:textId="77777777" w:rsidR="000F1839" w:rsidRDefault="000F1839" w:rsidP="000F1839">
      <w:pPr>
        <w:pStyle w:val="061"/>
        <w:numPr>
          <w:ilvl w:val="2"/>
          <w:numId w:val="0"/>
        </w:numPr>
        <w:spacing w:line="360" w:lineRule="auto"/>
        <w:ind w:firstLine="480"/>
      </w:pPr>
      <w:r>
        <w:rPr>
          <w:rFonts w:hint="eastAsia"/>
        </w:rPr>
        <w:t>供应商应提供</w:t>
      </w:r>
      <w:r>
        <w:rPr>
          <w:rFonts w:hint="eastAsia"/>
        </w:rPr>
        <w:t xml:space="preserve"> 7</w:t>
      </w:r>
      <w:r>
        <w:rPr>
          <w:rFonts w:hint="eastAsia"/>
        </w:rPr>
        <w:t>×</w:t>
      </w:r>
      <w:r>
        <w:rPr>
          <w:rFonts w:hint="eastAsia"/>
        </w:rPr>
        <w:t>24</w:t>
      </w:r>
      <w:r>
        <w:rPr>
          <w:rFonts w:hint="eastAsia"/>
        </w:rPr>
        <w:t>小时电话技术支持和故障申告服务。</w:t>
      </w:r>
    </w:p>
    <w:p w14:paraId="7A9B0FE6" w14:textId="77777777" w:rsidR="000F1839" w:rsidRDefault="000F1839" w:rsidP="000F1839">
      <w:pPr>
        <w:pStyle w:val="061"/>
        <w:numPr>
          <w:ilvl w:val="2"/>
          <w:numId w:val="0"/>
        </w:numPr>
        <w:spacing w:line="360" w:lineRule="auto"/>
        <w:ind w:firstLine="480"/>
      </w:pPr>
      <w:r>
        <w:rPr>
          <w:rFonts w:hint="eastAsia"/>
        </w:rPr>
        <w:t>供应商承诺对故障申告响应时间小于</w:t>
      </w:r>
      <w:r>
        <w:rPr>
          <w:rFonts w:hint="eastAsia"/>
        </w:rPr>
        <w:t>60</w:t>
      </w:r>
      <w:r>
        <w:rPr>
          <w:rFonts w:hint="eastAsia"/>
        </w:rPr>
        <w:t>分钟。</w:t>
      </w:r>
    </w:p>
    <w:p w14:paraId="29BDE883" w14:textId="77777777" w:rsidR="000F1839" w:rsidRDefault="000F1839" w:rsidP="000F1839">
      <w:pPr>
        <w:pStyle w:val="061"/>
        <w:numPr>
          <w:ilvl w:val="2"/>
          <w:numId w:val="0"/>
        </w:numPr>
        <w:spacing w:line="360" w:lineRule="auto"/>
        <w:ind w:firstLine="480"/>
      </w:pPr>
      <w:r>
        <w:rPr>
          <w:rFonts w:hint="eastAsia"/>
        </w:rPr>
        <w:t>提供船舶营运过程中突发故障情况的应急处理措施：包含但不限于派遣人员跟船和异地上船服务、临时采用设备替代，实现问题的及时解决，减少对业务的影响。</w:t>
      </w:r>
    </w:p>
    <w:p w14:paraId="758DAA1A" w14:textId="77777777" w:rsidR="000F1839" w:rsidRDefault="000F1839" w:rsidP="000F1839">
      <w:pPr>
        <w:pStyle w:val="061"/>
        <w:numPr>
          <w:ilvl w:val="2"/>
          <w:numId w:val="0"/>
        </w:numPr>
        <w:spacing w:line="360" w:lineRule="auto"/>
        <w:ind w:firstLine="480"/>
      </w:pPr>
      <w:r>
        <w:rPr>
          <w:rFonts w:hint="eastAsia"/>
        </w:rPr>
        <w:t>供应商及时响应用户提出系统运行质量分析报告并提出优化建议。</w:t>
      </w:r>
    </w:p>
    <w:p w14:paraId="56C39058" w14:textId="77777777" w:rsidR="000F1839" w:rsidRDefault="000F1839" w:rsidP="000F1839">
      <w:pPr>
        <w:pStyle w:val="061"/>
        <w:numPr>
          <w:ilvl w:val="2"/>
          <w:numId w:val="0"/>
        </w:numPr>
        <w:spacing w:line="360" w:lineRule="auto"/>
        <w:ind w:firstLine="480"/>
      </w:pPr>
      <w:r>
        <w:rPr>
          <w:rFonts w:cs="宋体" w:hint="eastAsia"/>
        </w:rPr>
        <w:t>供应商提供的设备必须是原厂正品并提供售后服务承诺。</w:t>
      </w:r>
    </w:p>
    <w:p w14:paraId="27856533" w14:textId="77777777" w:rsidR="000F1839" w:rsidRDefault="000F1839" w:rsidP="000F1839">
      <w:pPr>
        <w:pStyle w:val="061"/>
        <w:numPr>
          <w:ilvl w:val="2"/>
          <w:numId w:val="0"/>
        </w:numPr>
        <w:spacing w:line="360" w:lineRule="auto"/>
        <w:ind w:firstLine="480"/>
      </w:pPr>
      <w:r>
        <w:rPr>
          <w:rFonts w:cs="宋体" w:hint="eastAsia"/>
        </w:rPr>
        <w:t>供应商提供的软件必须具备相关软件著作权。</w:t>
      </w:r>
    </w:p>
    <w:p w14:paraId="43881837" w14:textId="23117F7E" w:rsidR="000F1839" w:rsidRDefault="000F1839" w:rsidP="000F1839">
      <w:pPr>
        <w:pStyle w:val="061"/>
        <w:numPr>
          <w:ilvl w:val="2"/>
          <w:numId w:val="0"/>
        </w:numPr>
        <w:spacing w:line="360" w:lineRule="auto"/>
        <w:ind w:firstLine="480"/>
        <w:rPr>
          <w:rFonts w:cs="宋体"/>
        </w:rPr>
      </w:pPr>
      <w:r>
        <w:rPr>
          <w:rFonts w:cs="宋体" w:hint="eastAsia"/>
        </w:rPr>
        <w:t>船舶出厂正式运营一个月内组织工程验收，验收合格之日起</w:t>
      </w:r>
      <w:r w:rsidR="001B14D5" w:rsidRPr="001B14D5">
        <w:rPr>
          <w:rFonts w:cs="宋体"/>
          <w:color w:val="FF0000"/>
        </w:rPr>
        <w:t>1</w:t>
      </w:r>
      <w:r>
        <w:rPr>
          <w:rFonts w:cs="宋体" w:hint="eastAsia"/>
        </w:rPr>
        <w:t>年内，质保期内凡属产品质量（非人为）问题均由供货商负责无偿修理、更换。质保期满后长期提供技术支持服务、维修只收取成本费。</w:t>
      </w:r>
    </w:p>
    <w:p w14:paraId="5715C2C8" w14:textId="77777777" w:rsidR="000F1839" w:rsidRPr="00956F9F" w:rsidRDefault="000F1839" w:rsidP="000F1839">
      <w:pPr>
        <w:pStyle w:val="061"/>
        <w:numPr>
          <w:ilvl w:val="2"/>
          <w:numId w:val="0"/>
        </w:numPr>
        <w:spacing w:line="360" w:lineRule="auto"/>
        <w:ind w:firstLine="480"/>
      </w:pPr>
      <w:r>
        <w:rPr>
          <w:rFonts w:cs="宋体" w:hint="eastAsia"/>
        </w:rPr>
        <w:t>技术服务包括设备接线、使用培训、布置图拟制、系统图计、施工图、完工资料、线缆布置设计及数量计算等。</w:t>
      </w:r>
    </w:p>
    <w:p w14:paraId="78DE5376" w14:textId="77777777" w:rsidR="000F1839" w:rsidRDefault="000F1839" w:rsidP="000F1839">
      <w:pPr>
        <w:pStyle w:val="061"/>
        <w:numPr>
          <w:ilvl w:val="2"/>
          <w:numId w:val="0"/>
        </w:numPr>
        <w:spacing w:line="360" w:lineRule="auto"/>
        <w:ind w:firstLine="480"/>
      </w:pPr>
      <w:r>
        <w:rPr>
          <w:rFonts w:cs="宋体" w:hint="eastAsia"/>
        </w:rPr>
        <w:t>供应商提供的设备与使用方应有完整交接。包含：系统使用权限、密码限制设置等。</w:t>
      </w:r>
    </w:p>
    <w:p w14:paraId="0434C9C9" w14:textId="77777777" w:rsidR="000F1839" w:rsidRDefault="000F1839" w:rsidP="000F1839">
      <w:pPr>
        <w:pStyle w:val="061"/>
        <w:numPr>
          <w:ilvl w:val="2"/>
          <w:numId w:val="0"/>
        </w:numPr>
        <w:spacing w:line="360" w:lineRule="auto"/>
        <w:ind w:firstLine="480"/>
      </w:pPr>
      <w:r>
        <w:rPr>
          <w:rFonts w:cs="宋体" w:hint="eastAsia"/>
        </w:rPr>
        <w:t>供应商负责对游轮使用部门及岸基管理部门的人员培训直至设备交付。</w:t>
      </w:r>
    </w:p>
    <w:p w14:paraId="782DD77E" w14:textId="77777777" w:rsidR="000F1839" w:rsidRDefault="000F1839" w:rsidP="000F1839">
      <w:pPr>
        <w:pStyle w:val="061"/>
        <w:spacing w:line="360" w:lineRule="auto"/>
        <w:ind w:firstLineChars="200" w:firstLine="480"/>
        <w:rPr>
          <w:b/>
          <w:bCs/>
        </w:rPr>
      </w:pPr>
      <w:r>
        <w:rPr>
          <w:rFonts w:hint="eastAsia"/>
          <w:b/>
          <w:bCs/>
        </w:rPr>
        <w:t>四、履约能力</w:t>
      </w:r>
    </w:p>
    <w:p w14:paraId="11B0F4D0" w14:textId="77777777" w:rsidR="000F1839" w:rsidRDefault="000F1839" w:rsidP="000F1839">
      <w:pPr>
        <w:pStyle w:val="022"/>
        <w:numPr>
          <w:ilvl w:val="2"/>
          <w:numId w:val="0"/>
        </w:numPr>
        <w:spacing w:line="360" w:lineRule="auto"/>
        <w:ind w:firstLineChars="200" w:firstLine="480"/>
        <w:rPr>
          <w:rFonts w:cs="宋体"/>
          <w:snapToGrid w:val="0"/>
        </w:rPr>
      </w:pPr>
      <w:r>
        <w:rPr>
          <w:rFonts w:cs="宋体" w:hint="eastAsia"/>
          <w:snapToGrid w:val="0"/>
        </w:rPr>
        <w:t>供应商应具备履行合同相应的资质，以最终能够通过检查和验收，能够投入正常的生产和营运。</w:t>
      </w:r>
    </w:p>
    <w:p w14:paraId="4CAC82BD" w14:textId="77777777" w:rsidR="000F1839" w:rsidRDefault="000F1839" w:rsidP="000F1839">
      <w:pPr>
        <w:pStyle w:val="061"/>
        <w:numPr>
          <w:ilvl w:val="2"/>
          <w:numId w:val="0"/>
        </w:numPr>
        <w:spacing w:line="360" w:lineRule="auto"/>
        <w:ind w:firstLine="480"/>
        <w:rPr>
          <w:rFonts w:cs="宋体"/>
        </w:rPr>
      </w:pPr>
      <w:r>
        <w:rPr>
          <w:rFonts w:cs="宋体" w:hint="eastAsia"/>
        </w:rPr>
        <w:t>供应商具有履行合同所必需的专业技术人才，项目经理及主要技术人员（至少两名）</w:t>
      </w:r>
    </w:p>
    <w:p w14:paraId="112068D3" w14:textId="77777777" w:rsidR="000F1839" w:rsidRDefault="000F1839" w:rsidP="000F1839">
      <w:pPr>
        <w:pStyle w:val="061"/>
        <w:numPr>
          <w:ilvl w:val="2"/>
          <w:numId w:val="0"/>
        </w:numPr>
        <w:spacing w:line="360" w:lineRule="auto"/>
        <w:ind w:firstLine="480"/>
        <w:rPr>
          <w:rFonts w:cs="宋体"/>
        </w:rPr>
      </w:pPr>
      <w:r>
        <w:rPr>
          <w:rFonts w:cs="宋体" w:hint="eastAsia"/>
        </w:rPr>
        <w:t>其他有利于项目实施的承诺或相关证书</w:t>
      </w:r>
      <w:r>
        <w:rPr>
          <w:rFonts w:cs="宋体" w:hint="eastAsia"/>
        </w:rPr>
        <w:t>(</w:t>
      </w:r>
      <w:r>
        <w:rPr>
          <w:rFonts w:cs="宋体" w:hint="eastAsia"/>
        </w:rPr>
        <w:t>由供应商根据采购项目性质自行提供</w:t>
      </w:r>
      <w:r>
        <w:rPr>
          <w:rFonts w:cs="宋体" w:hint="eastAsia"/>
        </w:rPr>
        <w:t>)</w:t>
      </w:r>
      <w:r>
        <w:rPr>
          <w:rFonts w:cs="宋体" w:hint="eastAsia"/>
        </w:rPr>
        <w:t>。</w:t>
      </w:r>
    </w:p>
    <w:p w14:paraId="23622A2A" w14:textId="77777777" w:rsidR="000F1839" w:rsidRDefault="000F1839" w:rsidP="000F1839">
      <w:pPr>
        <w:pStyle w:val="061"/>
        <w:spacing w:line="360" w:lineRule="auto"/>
        <w:ind w:firstLineChars="200" w:firstLine="480"/>
        <w:rPr>
          <w:b/>
          <w:bCs/>
        </w:rPr>
      </w:pPr>
      <w:r>
        <w:rPr>
          <w:rFonts w:hint="eastAsia"/>
          <w:b/>
          <w:bCs/>
        </w:rPr>
        <w:lastRenderedPageBreak/>
        <w:t>五、采购清单及技术参数要求</w:t>
      </w:r>
    </w:p>
    <w:p w14:paraId="07F859FD" w14:textId="63F7104B" w:rsidR="000F1839" w:rsidRPr="009273F8" w:rsidRDefault="000F1839" w:rsidP="000F1839">
      <w:pPr>
        <w:pStyle w:val="022"/>
        <w:spacing w:line="360" w:lineRule="auto"/>
        <w:ind w:leftChars="200" w:left="560" w:firstLineChars="0" w:firstLine="0"/>
        <w:rPr>
          <w:rFonts w:cs="宋体"/>
          <w:snapToGrid w:val="0"/>
        </w:rPr>
      </w:pPr>
      <w:r w:rsidRPr="009273F8">
        <w:rPr>
          <w:rFonts w:cs="宋体" w:hint="eastAsia"/>
          <w:snapToGrid w:val="0"/>
        </w:rPr>
        <w:t>见招标公告附件。需求规格尺寸、技术规格、数量、使用部位等见采购公告附件采购清单</w:t>
      </w:r>
      <w:r w:rsidR="00B44F7E" w:rsidRPr="00B44F7E">
        <w:rPr>
          <w:rFonts w:cs="宋体" w:hint="eastAsia"/>
          <w:b/>
          <w:bCs/>
          <w:snapToGrid w:val="0"/>
          <w:color w:val="FF0000"/>
        </w:rPr>
        <w:t>（特别说明：</w:t>
      </w:r>
      <w:r w:rsidR="0011250B">
        <w:rPr>
          <w:rFonts w:cs="宋体" w:hint="eastAsia"/>
          <w:b/>
          <w:bCs/>
          <w:snapToGrid w:val="0"/>
          <w:color w:val="FF0000"/>
        </w:rPr>
        <w:t>其中</w:t>
      </w:r>
      <w:r w:rsidR="0011250B">
        <w:rPr>
          <w:rFonts w:cs="宋体" w:hint="eastAsia"/>
          <w:b/>
          <w:bCs/>
          <w:snapToGrid w:val="0"/>
          <w:color w:val="FF0000"/>
        </w:rPr>
        <w:t>55</w:t>
      </w:r>
      <w:r w:rsidR="0011250B">
        <w:rPr>
          <w:rFonts w:cs="宋体" w:hint="eastAsia"/>
          <w:b/>
          <w:bCs/>
          <w:snapToGrid w:val="0"/>
          <w:color w:val="FF0000"/>
        </w:rPr>
        <w:t>寸</w:t>
      </w:r>
      <w:r w:rsidR="00B44F7E" w:rsidRPr="00B44F7E">
        <w:rPr>
          <w:rFonts w:cs="宋体" w:hint="eastAsia"/>
          <w:b/>
          <w:bCs/>
          <w:snapToGrid w:val="0"/>
          <w:color w:val="FF0000"/>
        </w:rPr>
        <w:t>含挂架最大厚度必须小于</w:t>
      </w:r>
      <w:r w:rsidR="00B44F7E" w:rsidRPr="00B44F7E">
        <w:rPr>
          <w:rFonts w:cs="宋体" w:hint="eastAsia"/>
          <w:b/>
          <w:bCs/>
          <w:snapToGrid w:val="0"/>
          <w:color w:val="FF0000"/>
        </w:rPr>
        <w:t>100</w:t>
      </w:r>
      <w:r w:rsidR="00B44F7E" w:rsidRPr="00B44F7E">
        <w:rPr>
          <w:rFonts w:cs="宋体" w:hint="eastAsia"/>
          <w:b/>
          <w:bCs/>
          <w:snapToGrid w:val="0"/>
          <w:color w:val="FF0000"/>
        </w:rPr>
        <w:t>）</w:t>
      </w:r>
      <w:r w:rsidRPr="00B44F7E">
        <w:rPr>
          <w:rFonts w:cs="宋体" w:hint="eastAsia"/>
          <w:b/>
          <w:bCs/>
          <w:snapToGrid w:val="0"/>
          <w:color w:val="FF0000"/>
        </w:rPr>
        <w:t>。</w:t>
      </w:r>
    </w:p>
    <w:p w14:paraId="5DA0F262" w14:textId="77777777" w:rsidR="000F1839" w:rsidRPr="009273F8" w:rsidRDefault="000F1839" w:rsidP="000F1839">
      <w:pPr>
        <w:pStyle w:val="022"/>
        <w:spacing w:line="360" w:lineRule="auto"/>
        <w:ind w:leftChars="200" w:left="560" w:firstLineChars="0" w:firstLine="0"/>
        <w:rPr>
          <w:rFonts w:cs="宋体"/>
          <w:snapToGrid w:val="0"/>
        </w:rPr>
      </w:pPr>
      <w:r w:rsidRPr="009273F8">
        <w:rPr>
          <w:rFonts w:cs="宋体" w:hint="eastAsia"/>
          <w:snapToGrid w:val="0"/>
        </w:rPr>
        <w:t>供应商必须保证所提供的产品是全新的、没有使用过的，且为生产厂家原厂生产的产品；本技术协议必须实质性最低要求，必须全部满足，否则为无效响应。</w:t>
      </w:r>
    </w:p>
    <w:p w14:paraId="027F91A4" w14:textId="77777777" w:rsidR="000F1839" w:rsidRPr="009C2B1D" w:rsidRDefault="000F1839" w:rsidP="000F1839">
      <w:pPr>
        <w:pStyle w:val="061"/>
        <w:spacing w:line="360" w:lineRule="auto"/>
        <w:ind w:firstLineChars="200" w:firstLine="480"/>
        <w:rPr>
          <w:b/>
          <w:bCs/>
        </w:rPr>
      </w:pPr>
      <w:bookmarkStart w:id="23" w:name="_Toc13160"/>
      <w:r>
        <w:rPr>
          <w:rFonts w:hint="eastAsia"/>
          <w:b/>
          <w:bCs/>
        </w:rPr>
        <w:t>六</w:t>
      </w:r>
      <w:r w:rsidRPr="009C2B1D">
        <w:rPr>
          <w:rFonts w:hint="eastAsia"/>
          <w:b/>
          <w:bCs/>
        </w:rPr>
        <w:t>、安装要求</w:t>
      </w:r>
      <w:bookmarkEnd w:id="23"/>
    </w:p>
    <w:p w14:paraId="7302F39A" w14:textId="77777777"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供应商须按采购人的要求进行安装调试，在安装过程中不得损害采购人的相关设施；安装完成后，须经采购人验收合格，验收前的管护责任由供应商负责。供应商安装完成后须清理安装场地的一切遗留垃圾。</w:t>
      </w:r>
    </w:p>
    <w:p w14:paraId="53484F89" w14:textId="77777777" w:rsidR="000F1839" w:rsidRPr="009C2B1D" w:rsidRDefault="000F1839" w:rsidP="000F1839">
      <w:pPr>
        <w:pStyle w:val="061"/>
        <w:spacing w:line="360" w:lineRule="auto"/>
        <w:ind w:firstLineChars="200" w:firstLine="480"/>
        <w:rPr>
          <w:b/>
          <w:bCs/>
        </w:rPr>
      </w:pPr>
      <w:r w:rsidRPr="009C2B1D">
        <w:rPr>
          <w:rFonts w:hint="eastAsia"/>
          <w:b/>
          <w:bCs/>
        </w:rPr>
        <w:t>七、安全要求</w:t>
      </w:r>
    </w:p>
    <w:p w14:paraId="18201D9A" w14:textId="77777777"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供应商应遵守安全生产的有关管理规定，严格按照安全标准组织实施，采取必要的安全防护措施，消除隐患。在实施过程中由于供应</w:t>
      </w:r>
      <w:proofErr w:type="gramStart"/>
      <w:r w:rsidRPr="00462A1E">
        <w:rPr>
          <w:rFonts w:cs="宋体" w:hint="eastAsia"/>
          <w:snapToGrid w:val="0"/>
        </w:rPr>
        <w:t>商管理</w:t>
      </w:r>
      <w:proofErr w:type="gramEnd"/>
      <w:r w:rsidRPr="00462A1E">
        <w:rPr>
          <w:rFonts w:cs="宋体" w:hint="eastAsia"/>
          <w:snapToGrid w:val="0"/>
        </w:rPr>
        <w:t>不当、安全措施不力造成的周边环境破坏和事故，由供应商承担相应的法律责任和财产损失。</w:t>
      </w:r>
    </w:p>
    <w:p w14:paraId="231C66D4" w14:textId="77777777" w:rsidR="000F1839" w:rsidRPr="009C2B1D" w:rsidRDefault="000F1839" w:rsidP="000F1839">
      <w:pPr>
        <w:pStyle w:val="061"/>
        <w:spacing w:line="360" w:lineRule="auto"/>
        <w:ind w:firstLineChars="200" w:firstLine="480"/>
        <w:rPr>
          <w:b/>
          <w:bCs/>
        </w:rPr>
      </w:pPr>
      <w:r w:rsidRPr="009C2B1D">
        <w:rPr>
          <w:rFonts w:hint="eastAsia"/>
          <w:b/>
          <w:bCs/>
        </w:rPr>
        <w:t>八、验收要求</w:t>
      </w:r>
    </w:p>
    <w:p w14:paraId="13A18A3E" w14:textId="595EB669"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货物到达现场后，供应商应在使用单位人员在场情况下当面开箱，共同清点、检查外观，</w:t>
      </w:r>
      <w:proofErr w:type="gramStart"/>
      <w:r w:rsidRPr="00462A1E">
        <w:rPr>
          <w:rFonts w:cs="宋体" w:hint="eastAsia"/>
          <w:snapToGrid w:val="0"/>
        </w:rPr>
        <w:t>作出</w:t>
      </w:r>
      <w:proofErr w:type="gramEnd"/>
      <w:r w:rsidRPr="00462A1E">
        <w:rPr>
          <w:rFonts w:cs="宋体" w:hint="eastAsia"/>
          <w:snapToGrid w:val="0"/>
        </w:rPr>
        <w:t>开箱记录，双方签字确认。</w:t>
      </w:r>
    </w:p>
    <w:p w14:paraId="37411AFB" w14:textId="16451E04"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供应商应保证货物到达用户所在地完好无损，如有缺漏、损坏，由供应商负责调换、补齐或赔偿。</w:t>
      </w:r>
    </w:p>
    <w:p w14:paraId="57B4DA56" w14:textId="4E7DFD35"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供应商应提供完备的技术资料、装箱单和合格证等。</w:t>
      </w:r>
    </w:p>
    <w:p w14:paraId="5028F633" w14:textId="72C7A81B"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验收合格条件如下：货物质量及要求与采购合同一致，达到规定的标准；货物技术资料、装箱单和合格证等资料齐全；在规定时间内完成交货和安装调试，并经采购人确认。</w:t>
      </w:r>
    </w:p>
    <w:p w14:paraId="4E79DE04" w14:textId="56EB3C29"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供应商提供的货物未达到采购文件规定要求，且对采购人造成损失的，由供应商承担一切责任，并赔偿所造成的损失。</w:t>
      </w:r>
    </w:p>
    <w:p w14:paraId="344710FA" w14:textId="7475F54A"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采购人需要制造商对供应商交付的产品（包括质量、技术参数等）进行确认的，制造商应予以配合，并出具书面意见。</w:t>
      </w:r>
    </w:p>
    <w:p w14:paraId="25631246" w14:textId="55127442"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产品包装材料归采购人所有。</w:t>
      </w:r>
    </w:p>
    <w:p w14:paraId="64C0DDE5" w14:textId="77777777" w:rsidR="000F1839" w:rsidRPr="009273F8" w:rsidRDefault="000F1839" w:rsidP="000F1839">
      <w:pPr>
        <w:pStyle w:val="061"/>
        <w:spacing w:line="360" w:lineRule="auto"/>
        <w:ind w:firstLineChars="200" w:firstLine="480"/>
        <w:rPr>
          <w:b/>
          <w:bCs/>
        </w:rPr>
      </w:pPr>
      <w:r w:rsidRPr="009273F8">
        <w:rPr>
          <w:rFonts w:hint="eastAsia"/>
          <w:b/>
          <w:bCs/>
        </w:rPr>
        <w:t>九、报价要求</w:t>
      </w:r>
    </w:p>
    <w:p w14:paraId="560D8B8F" w14:textId="60AED39F"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本次报价须为人民币报价，</w:t>
      </w:r>
      <w:r w:rsidR="00672375">
        <w:rPr>
          <w:rFonts w:cs="宋体" w:hint="eastAsia"/>
          <w:snapToGrid w:val="0"/>
        </w:rPr>
        <w:t>须含</w:t>
      </w:r>
      <w:r w:rsidR="00672375">
        <w:rPr>
          <w:rFonts w:cs="宋体" w:hint="eastAsia"/>
          <w:snapToGrid w:val="0"/>
        </w:rPr>
        <w:t>13%</w:t>
      </w:r>
      <w:r w:rsidR="00672375">
        <w:rPr>
          <w:rFonts w:cs="宋体" w:hint="eastAsia"/>
          <w:snapToGrid w:val="0"/>
        </w:rPr>
        <w:t>增值税专用发票，</w:t>
      </w:r>
      <w:r w:rsidRPr="00462A1E">
        <w:rPr>
          <w:rFonts w:cs="宋体" w:hint="eastAsia"/>
          <w:snapToGrid w:val="0"/>
        </w:rPr>
        <w:t>包含：产品价、运输费（含装</w:t>
      </w:r>
      <w:r w:rsidRPr="00462A1E">
        <w:rPr>
          <w:rFonts w:cs="宋体" w:hint="eastAsia"/>
          <w:snapToGrid w:val="0"/>
        </w:rPr>
        <w:lastRenderedPageBreak/>
        <w:t>卸费）、搬运费、安装调试费、保险费、培训费、税费</w:t>
      </w:r>
      <w:r w:rsidR="00672375">
        <w:rPr>
          <w:rFonts w:cs="宋体" w:hint="eastAsia"/>
          <w:snapToGrid w:val="0"/>
        </w:rPr>
        <w:t>、后续服务费</w:t>
      </w:r>
      <w:r w:rsidRPr="00462A1E">
        <w:rPr>
          <w:rFonts w:cs="宋体" w:hint="eastAsia"/>
          <w:snapToGrid w:val="0"/>
        </w:rPr>
        <w:t>等完成本项目的一切费用。因供应商自身原因造成漏报、少报皆由其自行承担责任。</w:t>
      </w:r>
    </w:p>
    <w:p w14:paraId="60AFBFF8" w14:textId="77777777" w:rsidR="000F1839" w:rsidRPr="00462A1E" w:rsidRDefault="000F1839" w:rsidP="000F1839">
      <w:pPr>
        <w:pStyle w:val="061"/>
        <w:spacing w:line="360" w:lineRule="auto"/>
        <w:ind w:firstLineChars="200" w:firstLine="480"/>
        <w:rPr>
          <w:b/>
          <w:bCs/>
        </w:rPr>
      </w:pPr>
      <w:bookmarkStart w:id="24" w:name="_Toc344475123"/>
      <w:bookmarkStart w:id="25" w:name="_Toc485049255"/>
      <w:bookmarkStart w:id="26" w:name="_Toc419"/>
      <w:bookmarkStart w:id="27" w:name="_Toc26182"/>
      <w:bookmarkStart w:id="28" w:name="_Toc12059"/>
      <w:r w:rsidRPr="00462A1E">
        <w:rPr>
          <w:rFonts w:hint="eastAsia"/>
          <w:b/>
          <w:bCs/>
        </w:rPr>
        <w:t>十、知识产权</w:t>
      </w:r>
      <w:bookmarkEnd w:id="24"/>
      <w:bookmarkEnd w:id="25"/>
      <w:bookmarkEnd w:id="26"/>
      <w:bookmarkEnd w:id="27"/>
      <w:bookmarkEnd w:id="28"/>
    </w:p>
    <w:p w14:paraId="516470D3" w14:textId="77777777" w:rsidR="000F1839" w:rsidRPr="00462A1E" w:rsidRDefault="000F1839" w:rsidP="000F1839">
      <w:pPr>
        <w:pStyle w:val="022"/>
        <w:numPr>
          <w:ilvl w:val="2"/>
          <w:numId w:val="0"/>
        </w:numPr>
        <w:spacing w:line="360" w:lineRule="auto"/>
        <w:ind w:firstLineChars="200" w:firstLine="480"/>
        <w:rPr>
          <w:rFonts w:cs="宋体"/>
          <w:snapToGrid w:val="0"/>
        </w:rPr>
      </w:pPr>
      <w:r w:rsidRPr="00462A1E">
        <w:rPr>
          <w:rFonts w:cs="宋体" w:hint="eastAsia"/>
          <w:snapToGrid w:val="0"/>
        </w:rPr>
        <w:t>采购人在中华人民共和国境内使用供应商提供的货物及服务时免受第三方提出的侵犯其专利权或其它知识产权的起诉。如果第三方提出侵权指控，供应商应承担由此而引起的一切法律责任和费用。</w:t>
      </w:r>
    </w:p>
    <w:p w14:paraId="15491F6E" w14:textId="77777777" w:rsidR="000F1839" w:rsidRPr="008550AA" w:rsidRDefault="000F1839" w:rsidP="000F1839">
      <w:pPr>
        <w:pStyle w:val="061"/>
        <w:spacing w:line="360" w:lineRule="auto"/>
        <w:ind w:firstLineChars="200" w:firstLine="480"/>
        <w:rPr>
          <w:b/>
          <w:bCs/>
        </w:rPr>
      </w:pPr>
      <w:r>
        <w:rPr>
          <w:rFonts w:hint="eastAsia"/>
          <w:b/>
          <w:bCs/>
        </w:rPr>
        <w:t>十一、其他</w:t>
      </w:r>
    </w:p>
    <w:p w14:paraId="31476B18" w14:textId="77777777" w:rsidR="000F1839" w:rsidRDefault="000F1839" w:rsidP="000F1839">
      <w:pPr>
        <w:pStyle w:val="022"/>
        <w:spacing w:line="360" w:lineRule="auto"/>
        <w:ind w:leftChars="200" w:left="560" w:firstLineChars="0" w:firstLine="0"/>
        <w:rPr>
          <w:rFonts w:cs="宋体"/>
          <w:snapToGrid w:val="0"/>
        </w:rPr>
      </w:pPr>
      <w:r>
        <w:rPr>
          <w:rFonts w:cs="宋体" w:hint="eastAsia"/>
          <w:snapToGrid w:val="0"/>
        </w:rPr>
        <w:t>1.</w:t>
      </w:r>
      <w:r>
        <w:rPr>
          <w:rFonts w:cs="宋体" w:hint="eastAsia"/>
          <w:snapToGrid w:val="0"/>
        </w:rPr>
        <w:t>其他未尽事宜由各方友好协商解决。</w:t>
      </w:r>
    </w:p>
    <w:p w14:paraId="1BE45109" w14:textId="77777777" w:rsidR="000F1839" w:rsidRDefault="000F1839" w:rsidP="000F1839">
      <w:pPr>
        <w:pStyle w:val="022"/>
        <w:spacing w:line="360" w:lineRule="auto"/>
        <w:ind w:leftChars="200" w:left="560" w:firstLineChars="0" w:firstLine="0"/>
        <w:rPr>
          <w:rFonts w:cs="宋体"/>
          <w:snapToGrid w:val="0"/>
        </w:rPr>
      </w:pPr>
      <w:r>
        <w:rPr>
          <w:rFonts w:cs="宋体" w:hint="eastAsia"/>
          <w:snapToGrid w:val="0"/>
        </w:rPr>
        <w:t>2.</w:t>
      </w:r>
      <w:r>
        <w:rPr>
          <w:rFonts w:cs="宋体" w:hint="eastAsia"/>
          <w:snapToGrid w:val="0"/>
        </w:rPr>
        <w:t>该技术协议作为商务合同的附属协议，与商务合同同时生效。</w:t>
      </w:r>
    </w:p>
    <w:p w14:paraId="4A2FB152" w14:textId="5A852BD7" w:rsidR="009656DC" w:rsidRPr="000F1839" w:rsidRDefault="000F1839" w:rsidP="00ED6707">
      <w:pPr>
        <w:pStyle w:val="022"/>
        <w:spacing w:line="360" w:lineRule="auto"/>
        <w:ind w:leftChars="200" w:left="560" w:firstLineChars="0" w:firstLine="0"/>
      </w:pPr>
      <w:r>
        <w:rPr>
          <w:rFonts w:cs="宋体" w:hint="eastAsia"/>
          <w:snapToGrid w:val="0"/>
        </w:rPr>
        <w:t>3.</w:t>
      </w:r>
      <w:r>
        <w:rPr>
          <w:rFonts w:cs="宋体" w:hint="eastAsia"/>
          <w:snapToGrid w:val="0"/>
        </w:rPr>
        <w:t>本协议一式三份，供应商、船东、船厂各持一份，经各方签字后生效。</w:t>
      </w:r>
      <w:bookmarkStart w:id="29" w:name="_Toc23762"/>
      <w:bookmarkStart w:id="30" w:name="_Toc344475124"/>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9"/>
      <w:bookmarkEnd w:id="30"/>
    </w:p>
    <w:sectPr w:rsidR="009656DC" w:rsidRPr="000F1839" w:rsidSect="000F1839">
      <w:headerReference w:type="default" r:id="rId7"/>
      <w:footerReference w:type="default" r:id="rId8"/>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B3669" w14:textId="77777777" w:rsidR="00235FF3" w:rsidRDefault="00235FF3" w:rsidP="000F1839">
      <w:r>
        <w:separator/>
      </w:r>
    </w:p>
  </w:endnote>
  <w:endnote w:type="continuationSeparator" w:id="0">
    <w:p w14:paraId="6413A1CB" w14:textId="77777777" w:rsidR="00235FF3" w:rsidRDefault="00235FF3" w:rsidP="000F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197068"/>
      <w:docPartObj>
        <w:docPartGallery w:val="Page Numbers (Bottom of Page)"/>
        <w:docPartUnique/>
      </w:docPartObj>
    </w:sdtPr>
    <w:sdtEndPr/>
    <w:sdtContent>
      <w:p w14:paraId="76C5EE98" w14:textId="7C15DF33" w:rsidR="00ED6707" w:rsidRDefault="00ED6707">
        <w:pPr>
          <w:pStyle w:val="af0"/>
          <w:spacing w:before="120" w:after="120"/>
          <w:jc w:val="center"/>
        </w:pPr>
        <w:r>
          <w:fldChar w:fldCharType="begin"/>
        </w:r>
        <w:r>
          <w:instrText>PAGE   \* MERGEFORMAT</w:instrText>
        </w:r>
        <w:r>
          <w:fldChar w:fldCharType="separate"/>
        </w:r>
        <w:r>
          <w:rPr>
            <w:lang w:val="zh-CN"/>
          </w:rPr>
          <w:t>2</w:t>
        </w:r>
        <w:r>
          <w:fldChar w:fldCharType="end"/>
        </w:r>
      </w:p>
    </w:sdtContent>
  </w:sdt>
  <w:p w14:paraId="06DB33C1" w14:textId="61D6569F" w:rsidR="00E672FF" w:rsidRDefault="00E672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2265C" w14:textId="77777777" w:rsidR="00235FF3" w:rsidRDefault="00235FF3" w:rsidP="000F1839">
      <w:r>
        <w:separator/>
      </w:r>
    </w:p>
  </w:footnote>
  <w:footnote w:type="continuationSeparator" w:id="0">
    <w:p w14:paraId="03D9C9DD" w14:textId="77777777" w:rsidR="00235FF3" w:rsidRDefault="00235FF3" w:rsidP="000F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B863" w14:textId="77777777" w:rsidR="00E672FF" w:rsidRDefault="00E672FF">
    <w:pPr>
      <w:pStyle w:val="ae"/>
      <w:pBdr>
        <w:bottom w:val="none" w:sz="0" w:space="1" w:color="auto"/>
      </w:pBdr>
      <w:jc w:val="both"/>
      <w:rPr>
        <w:rFonts w:ascii="方正仿宋_GBK" w:eastAsia="方正仿宋_GBK"/>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4D8E0A"/>
    <w:multiLevelType w:val="multilevel"/>
    <w:tmpl w:val="B04D8E0A"/>
    <w:lvl w:ilvl="0">
      <w:start w:val="1"/>
      <w:numFmt w:val="chineseCounting"/>
      <w:pStyle w:val="14"/>
      <w:suff w:val="nothing"/>
      <w:lvlText w:val="第%1章 "/>
      <w:lvlJc w:val="left"/>
      <w:pPr>
        <w:tabs>
          <w:tab w:val="left" w:pos="0"/>
        </w:tabs>
        <w:ind w:left="0" w:firstLine="0"/>
      </w:pPr>
      <w:rPr>
        <w:rFonts w:ascii="宋体" w:eastAsia="宋体" w:hAnsi="宋体" w:cs="宋体" w:hint="eastAsia"/>
      </w:rPr>
    </w:lvl>
    <w:lvl w:ilvl="1">
      <w:start w:val="1"/>
      <w:numFmt w:val="chineseCounting"/>
      <w:pStyle w:val="15"/>
      <w:suff w:val="nothing"/>
      <w:lvlText w:val="%2、"/>
      <w:lvlJc w:val="left"/>
      <w:pPr>
        <w:ind w:left="709" w:firstLine="0"/>
      </w:pPr>
      <w:rPr>
        <w:rFonts w:ascii="宋体" w:eastAsia="宋体" w:hAnsi="宋体" w:cs="宋体" w:hint="eastAsia"/>
        <w:lang w:val="en-US"/>
      </w:rPr>
    </w:lvl>
    <w:lvl w:ilvl="2">
      <w:start w:val="1"/>
      <w:numFmt w:val="chineseCounting"/>
      <w:pStyle w:val="16"/>
      <w:suff w:val="nothing"/>
      <w:lvlText w:val="(%3)"/>
      <w:lvlJc w:val="left"/>
      <w:pPr>
        <w:tabs>
          <w:tab w:val="left" w:pos="0"/>
        </w:tabs>
        <w:ind w:left="0" w:firstLine="0"/>
      </w:pPr>
      <w:rPr>
        <w:rFonts w:ascii="宋体" w:eastAsia="宋体" w:hAnsi="宋体" w:cs="宋体" w:hint="eastAsia"/>
      </w:rPr>
    </w:lvl>
    <w:lvl w:ilvl="3">
      <w:start w:val="1"/>
      <w:numFmt w:val="decimal"/>
      <w:pStyle w:val="171"/>
      <w:suff w:val="nothing"/>
      <w:lvlText w:val="%4."/>
      <w:lvlJc w:val="left"/>
      <w:pPr>
        <w:tabs>
          <w:tab w:val="left" w:pos="0"/>
        </w:tabs>
        <w:ind w:left="0" w:firstLine="0"/>
      </w:pPr>
      <w:rPr>
        <w:rFonts w:ascii="宋体" w:eastAsia="宋体" w:hAnsi="宋体" w:cs="宋体" w:hint="eastAsia"/>
      </w:rPr>
    </w:lvl>
    <w:lvl w:ilvl="4">
      <w:start w:val="1"/>
      <w:numFmt w:val="decimal"/>
      <w:pStyle w:val="1811"/>
      <w:suff w:val="nothing"/>
      <w:lvlText w:val="%4.%5"/>
      <w:lvlJc w:val="left"/>
      <w:pPr>
        <w:ind w:left="0" w:firstLine="0"/>
      </w:pPr>
      <w:rPr>
        <w:rFonts w:ascii="宋体" w:eastAsia="宋体" w:hAnsi="宋体" w:cs="宋体" w:hint="eastAsia"/>
      </w:rPr>
    </w:lvl>
    <w:lvl w:ilvl="5">
      <w:start w:val="1"/>
      <w:numFmt w:val="decimal"/>
      <w:pStyle w:val="191"/>
      <w:suff w:val="nothing"/>
      <w:lvlText w:val="(%6)"/>
      <w:lvlJc w:val="left"/>
      <w:pPr>
        <w:ind w:left="0" w:firstLine="0"/>
      </w:pPr>
      <w:rPr>
        <w:rFonts w:ascii="宋体" w:eastAsia="宋体" w:hAnsi="宋体" w:cs="宋体" w:hint="eastAsia"/>
      </w:rPr>
    </w:lvl>
    <w:lvl w:ilvl="6">
      <w:start w:val="1"/>
      <w:numFmt w:val="lowerLetter"/>
      <w:suff w:val="nothing"/>
      <w:lvlText w:val="%7．"/>
      <w:lvlJc w:val="left"/>
      <w:pPr>
        <w:ind w:left="0" w:firstLine="402"/>
      </w:pPr>
    </w:lvl>
    <w:lvl w:ilvl="7">
      <w:start w:val="1"/>
      <w:numFmt w:val="lowerLetter"/>
      <w:suff w:val="nothing"/>
      <w:lvlText w:val="%8）"/>
      <w:lvlJc w:val="left"/>
      <w:pPr>
        <w:ind w:left="0" w:firstLine="402"/>
      </w:pPr>
    </w:lvl>
    <w:lvl w:ilvl="8">
      <w:start w:val="1"/>
      <w:numFmt w:val="lowerRoman"/>
      <w:suff w:val="nothing"/>
      <w:lvlText w:val="%9. "/>
      <w:lvlJc w:val="left"/>
      <w:pPr>
        <w:ind w:left="0" w:firstLine="402"/>
      </w:pPr>
    </w:lvl>
  </w:abstractNum>
  <w:abstractNum w:abstractNumId="1" w15:restartNumberingAfterBreak="0">
    <w:nsid w:val="DAF42E28"/>
    <w:multiLevelType w:val="singleLevel"/>
    <w:tmpl w:val="DAF42E28"/>
    <w:lvl w:ilvl="0">
      <w:start w:val="2"/>
      <w:numFmt w:val="chineseCounting"/>
      <w:suff w:val="nothing"/>
      <w:lvlText w:val="%1、"/>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69"/>
    <w:rsid w:val="000B6D57"/>
    <w:rsid w:val="000F1839"/>
    <w:rsid w:val="0011250B"/>
    <w:rsid w:val="00120150"/>
    <w:rsid w:val="00174BB1"/>
    <w:rsid w:val="001B14D5"/>
    <w:rsid w:val="001E7719"/>
    <w:rsid w:val="00235FF3"/>
    <w:rsid w:val="00287002"/>
    <w:rsid w:val="005571CF"/>
    <w:rsid w:val="00672375"/>
    <w:rsid w:val="006C7C02"/>
    <w:rsid w:val="007524E3"/>
    <w:rsid w:val="007617D7"/>
    <w:rsid w:val="00807FEB"/>
    <w:rsid w:val="00850312"/>
    <w:rsid w:val="008D43B5"/>
    <w:rsid w:val="009656DC"/>
    <w:rsid w:val="00974F63"/>
    <w:rsid w:val="0098040E"/>
    <w:rsid w:val="009D470A"/>
    <w:rsid w:val="00A268A3"/>
    <w:rsid w:val="00A7440D"/>
    <w:rsid w:val="00A80E05"/>
    <w:rsid w:val="00B23069"/>
    <w:rsid w:val="00B44F7E"/>
    <w:rsid w:val="00BC3A06"/>
    <w:rsid w:val="00E672FF"/>
    <w:rsid w:val="00ED6707"/>
    <w:rsid w:val="00F818BD"/>
    <w:rsid w:val="00FA4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6A126"/>
  <w15:chartTrackingRefBased/>
  <w15:docId w15:val="{3CC32FDF-C2A2-4F1C-8ED5-6111EBF1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839"/>
    <w:pPr>
      <w:widowControl w:val="0"/>
      <w:spacing w:after="0" w:line="240" w:lineRule="auto"/>
      <w:jc w:val="both"/>
    </w:pPr>
    <w:rPr>
      <w:rFonts w:ascii="Times New Roman" w:eastAsia="宋体" w:hAnsi="Times New Roman" w:cs="Times New Roman"/>
      <w:sz w:val="28"/>
      <w:szCs w:val="20"/>
      <w14:ligatures w14:val="none"/>
    </w:rPr>
  </w:style>
  <w:style w:type="paragraph" w:styleId="1">
    <w:name w:val="heading 1"/>
    <w:basedOn w:val="a"/>
    <w:next w:val="a"/>
    <w:link w:val="10"/>
    <w:qFormat/>
    <w:rsid w:val="00B230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B230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B230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23069"/>
    <w:pPr>
      <w:keepNext/>
      <w:keepLines/>
      <w:spacing w:before="80" w:after="40"/>
      <w:outlineLvl w:val="3"/>
    </w:pPr>
    <w:rPr>
      <w:rFonts w:cstheme="majorBidi"/>
      <w:color w:val="0F4761" w:themeColor="accent1" w:themeShade="BF"/>
      <w:szCs w:val="28"/>
    </w:rPr>
  </w:style>
  <w:style w:type="paragraph" w:styleId="5">
    <w:name w:val="heading 5"/>
    <w:basedOn w:val="a"/>
    <w:next w:val="a"/>
    <w:link w:val="50"/>
    <w:uiPriority w:val="9"/>
    <w:semiHidden/>
    <w:unhideWhenUsed/>
    <w:qFormat/>
    <w:rsid w:val="00B230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230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230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30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230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30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rsid w:val="00B230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230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23069"/>
    <w:rPr>
      <w:rFonts w:cstheme="majorBidi"/>
      <w:color w:val="0F4761" w:themeColor="accent1" w:themeShade="BF"/>
      <w:sz w:val="28"/>
      <w:szCs w:val="28"/>
    </w:rPr>
  </w:style>
  <w:style w:type="character" w:customStyle="1" w:styleId="50">
    <w:name w:val="标题 5 字符"/>
    <w:basedOn w:val="a0"/>
    <w:link w:val="5"/>
    <w:uiPriority w:val="9"/>
    <w:semiHidden/>
    <w:rsid w:val="00B23069"/>
    <w:rPr>
      <w:rFonts w:cstheme="majorBidi"/>
      <w:color w:val="0F4761" w:themeColor="accent1" w:themeShade="BF"/>
      <w:sz w:val="24"/>
    </w:rPr>
  </w:style>
  <w:style w:type="character" w:customStyle="1" w:styleId="60">
    <w:name w:val="标题 6 字符"/>
    <w:basedOn w:val="a0"/>
    <w:link w:val="6"/>
    <w:uiPriority w:val="9"/>
    <w:semiHidden/>
    <w:rsid w:val="00B23069"/>
    <w:rPr>
      <w:rFonts w:cstheme="majorBidi"/>
      <w:b/>
      <w:bCs/>
      <w:color w:val="0F4761" w:themeColor="accent1" w:themeShade="BF"/>
    </w:rPr>
  </w:style>
  <w:style w:type="character" w:customStyle="1" w:styleId="70">
    <w:name w:val="标题 7 字符"/>
    <w:basedOn w:val="a0"/>
    <w:link w:val="7"/>
    <w:uiPriority w:val="9"/>
    <w:semiHidden/>
    <w:rsid w:val="00B23069"/>
    <w:rPr>
      <w:rFonts w:cstheme="majorBidi"/>
      <w:b/>
      <w:bCs/>
      <w:color w:val="595959" w:themeColor="text1" w:themeTint="A6"/>
    </w:rPr>
  </w:style>
  <w:style w:type="character" w:customStyle="1" w:styleId="80">
    <w:name w:val="标题 8 字符"/>
    <w:basedOn w:val="a0"/>
    <w:link w:val="8"/>
    <w:uiPriority w:val="9"/>
    <w:semiHidden/>
    <w:rsid w:val="00B23069"/>
    <w:rPr>
      <w:rFonts w:cstheme="majorBidi"/>
      <w:color w:val="595959" w:themeColor="text1" w:themeTint="A6"/>
    </w:rPr>
  </w:style>
  <w:style w:type="character" w:customStyle="1" w:styleId="90">
    <w:name w:val="标题 9 字符"/>
    <w:basedOn w:val="a0"/>
    <w:link w:val="9"/>
    <w:uiPriority w:val="9"/>
    <w:semiHidden/>
    <w:rsid w:val="00B23069"/>
    <w:rPr>
      <w:rFonts w:eastAsiaTheme="majorEastAsia" w:cstheme="majorBidi"/>
      <w:color w:val="595959" w:themeColor="text1" w:themeTint="A6"/>
    </w:rPr>
  </w:style>
  <w:style w:type="paragraph" w:styleId="a3">
    <w:name w:val="Title"/>
    <w:basedOn w:val="a"/>
    <w:next w:val="a"/>
    <w:link w:val="a4"/>
    <w:qFormat/>
    <w:rsid w:val="00B230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30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3069"/>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B230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3069"/>
    <w:pPr>
      <w:spacing w:before="160"/>
      <w:jc w:val="center"/>
    </w:pPr>
    <w:rPr>
      <w:i/>
      <w:iCs/>
      <w:color w:val="404040" w:themeColor="text1" w:themeTint="BF"/>
    </w:rPr>
  </w:style>
  <w:style w:type="character" w:customStyle="1" w:styleId="a8">
    <w:name w:val="引用 字符"/>
    <w:basedOn w:val="a0"/>
    <w:link w:val="a7"/>
    <w:uiPriority w:val="29"/>
    <w:rsid w:val="00B23069"/>
    <w:rPr>
      <w:i/>
      <w:iCs/>
      <w:color w:val="404040" w:themeColor="text1" w:themeTint="BF"/>
    </w:rPr>
  </w:style>
  <w:style w:type="paragraph" w:styleId="a9">
    <w:name w:val="List Paragraph"/>
    <w:basedOn w:val="a"/>
    <w:uiPriority w:val="34"/>
    <w:qFormat/>
    <w:rsid w:val="00B23069"/>
    <w:pPr>
      <w:ind w:left="720"/>
      <w:contextualSpacing/>
    </w:pPr>
  </w:style>
  <w:style w:type="character" w:styleId="aa">
    <w:name w:val="Intense Emphasis"/>
    <w:basedOn w:val="a0"/>
    <w:uiPriority w:val="21"/>
    <w:qFormat/>
    <w:rsid w:val="00B23069"/>
    <w:rPr>
      <w:i/>
      <w:iCs/>
      <w:color w:val="0F4761" w:themeColor="accent1" w:themeShade="BF"/>
    </w:rPr>
  </w:style>
  <w:style w:type="paragraph" w:styleId="ab">
    <w:name w:val="Intense Quote"/>
    <w:basedOn w:val="a"/>
    <w:next w:val="a"/>
    <w:link w:val="ac"/>
    <w:uiPriority w:val="30"/>
    <w:qFormat/>
    <w:rsid w:val="00B23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23069"/>
    <w:rPr>
      <w:i/>
      <w:iCs/>
      <w:color w:val="0F4761" w:themeColor="accent1" w:themeShade="BF"/>
    </w:rPr>
  </w:style>
  <w:style w:type="character" w:styleId="ad">
    <w:name w:val="Intense Reference"/>
    <w:basedOn w:val="a0"/>
    <w:uiPriority w:val="32"/>
    <w:qFormat/>
    <w:rsid w:val="00B23069"/>
    <w:rPr>
      <w:b/>
      <w:bCs/>
      <w:smallCaps/>
      <w:color w:val="0F4761" w:themeColor="accent1" w:themeShade="BF"/>
      <w:spacing w:val="5"/>
    </w:rPr>
  </w:style>
  <w:style w:type="paragraph" w:styleId="ae">
    <w:name w:val="header"/>
    <w:basedOn w:val="a"/>
    <w:link w:val="af"/>
    <w:unhideWhenUsed/>
    <w:rsid w:val="000F1839"/>
    <w:pPr>
      <w:tabs>
        <w:tab w:val="center" w:pos="4153"/>
        <w:tab w:val="right" w:pos="8306"/>
      </w:tabs>
      <w:snapToGrid w:val="0"/>
      <w:jc w:val="center"/>
    </w:pPr>
    <w:rPr>
      <w:sz w:val="18"/>
      <w:szCs w:val="18"/>
    </w:rPr>
  </w:style>
  <w:style w:type="character" w:customStyle="1" w:styleId="af">
    <w:name w:val="页眉 字符"/>
    <w:basedOn w:val="a0"/>
    <w:link w:val="ae"/>
    <w:uiPriority w:val="99"/>
    <w:rsid w:val="000F1839"/>
    <w:rPr>
      <w:sz w:val="18"/>
      <w:szCs w:val="18"/>
    </w:rPr>
  </w:style>
  <w:style w:type="paragraph" w:styleId="af0">
    <w:name w:val="footer"/>
    <w:basedOn w:val="a"/>
    <w:link w:val="af1"/>
    <w:uiPriority w:val="99"/>
    <w:unhideWhenUsed/>
    <w:rsid w:val="000F1839"/>
    <w:pPr>
      <w:tabs>
        <w:tab w:val="center" w:pos="4153"/>
        <w:tab w:val="right" w:pos="8306"/>
      </w:tabs>
      <w:snapToGrid w:val="0"/>
    </w:pPr>
    <w:rPr>
      <w:sz w:val="18"/>
      <w:szCs w:val="18"/>
    </w:rPr>
  </w:style>
  <w:style w:type="character" w:customStyle="1" w:styleId="af1">
    <w:name w:val="页脚 字符"/>
    <w:basedOn w:val="a0"/>
    <w:link w:val="af0"/>
    <w:uiPriority w:val="99"/>
    <w:rsid w:val="000F1839"/>
    <w:rPr>
      <w:sz w:val="18"/>
      <w:szCs w:val="18"/>
    </w:rPr>
  </w:style>
  <w:style w:type="paragraph" w:styleId="TOC2">
    <w:name w:val="toc 2"/>
    <w:basedOn w:val="a"/>
    <w:next w:val="a"/>
    <w:uiPriority w:val="39"/>
    <w:rsid w:val="000F1839"/>
    <w:pPr>
      <w:spacing w:line="360" w:lineRule="auto"/>
      <w:ind w:leftChars="200" w:left="560"/>
      <w:jc w:val="left"/>
    </w:pPr>
    <w:rPr>
      <w:sz w:val="24"/>
    </w:rPr>
  </w:style>
  <w:style w:type="paragraph" w:customStyle="1" w:styleId="15">
    <w:name w:val="15、“一、”二级标题"/>
    <w:basedOn w:val="a"/>
    <w:qFormat/>
    <w:rsid w:val="000F1839"/>
    <w:pPr>
      <w:numPr>
        <w:ilvl w:val="1"/>
        <w:numId w:val="1"/>
      </w:numPr>
      <w:tabs>
        <w:tab w:val="left" w:pos="0"/>
        <w:tab w:val="num" w:pos="425"/>
      </w:tabs>
      <w:wordWrap w:val="0"/>
      <w:topLinePunct/>
      <w:adjustRightInd w:val="0"/>
      <w:snapToGrid w:val="0"/>
      <w:spacing w:line="440" w:lineRule="exact"/>
      <w:ind w:left="425" w:hanging="425"/>
      <w:jc w:val="left"/>
      <w:outlineLvl w:val="1"/>
    </w:pPr>
    <w:rPr>
      <w:rFonts w:ascii="宋体" w:hAnsi="宋体"/>
      <w:b/>
      <w:sz w:val="24"/>
      <w:szCs w:val="24"/>
    </w:rPr>
  </w:style>
  <w:style w:type="character" w:customStyle="1" w:styleId="022Char">
    <w:name w:val="02、首行缩进2字符正文 Char"/>
    <w:link w:val="022"/>
    <w:qFormat/>
    <w:locked/>
    <w:rsid w:val="000F1839"/>
    <w:rPr>
      <w:rFonts w:ascii="宋体" w:hAnsi="宋体"/>
      <w:sz w:val="24"/>
    </w:rPr>
  </w:style>
  <w:style w:type="paragraph" w:customStyle="1" w:styleId="022">
    <w:name w:val="02、首行缩进2字符正文"/>
    <w:basedOn w:val="a"/>
    <w:link w:val="022Char"/>
    <w:qFormat/>
    <w:rsid w:val="000F1839"/>
    <w:pPr>
      <w:tabs>
        <w:tab w:val="left" w:pos="0"/>
      </w:tabs>
      <w:wordWrap w:val="0"/>
      <w:topLinePunct/>
      <w:adjustRightInd w:val="0"/>
      <w:snapToGrid w:val="0"/>
      <w:spacing w:line="440" w:lineRule="exact"/>
      <w:ind w:firstLineChars="200" w:firstLine="480"/>
      <w:jc w:val="left"/>
    </w:pPr>
    <w:rPr>
      <w:rFonts w:ascii="宋体" w:eastAsiaTheme="minorEastAsia" w:hAnsi="宋体" w:cstheme="minorBidi"/>
      <w:sz w:val="24"/>
      <w:szCs w:val="24"/>
      <w14:ligatures w14:val="standardContextual"/>
    </w:rPr>
  </w:style>
  <w:style w:type="paragraph" w:customStyle="1" w:styleId="14">
    <w:name w:val="14、“第一章”一级标题"/>
    <w:basedOn w:val="a"/>
    <w:qFormat/>
    <w:rsid w:val="000F1839"/>
    <w:pPr>
      <w:numPr>
        <w:numId w:val="1"/>
      </w:numPr>
      <w:tabs>
        <w:tab w:val="clear" w:pos="0"/>
        <w:tab w:val="num" w:pos="425"/>
      </w:tabs>
      <w:wordWrap w:val="0"/>
      <w:topLinePunct/>
      <w:adjustRightInd w:val="0"/>
      <w:snapToGrid w:val="0"/>
      <w:spacing w:beforeLines="50" w:afterLines="50"/>
      <w:ind w:left="425" w:hanging="425"/>
      <w:jc w:val="center"/>
      <w:outlineLvl w:val="0"/>
    </w:pPr>
    <w:rPr>
      <w:rFonts w:ascii="宋体" w:hAnsi="宋体"/>
      <w:b/>
      <w:sz w:val="36"/>
      <w:szCs w:val="24"/>
    </w:rPr>
  </w:style>
  <w:style w:type="paragraph" w:customStyle="1" w:styleId="16">
    <w:name w:val="16、“(一)”三级标题"/>
    <w:basedOn w:val="a"/>
    <w:qFormat/>
    <w:rsid w:val="000F1839"/>
    <w:pPr>
      <w:numPr>
        <w:ilvl w:val="2"/>
        <w:numId w:val="1"/>
      </w:numPr>
      <w:tabs>
        <w:tab w:val="clear" w:pos="0"/>
        <w:tab w:val="num" w:pos="425"/>
      </w:tabs>
      <w:wordWrap w:val="0"/>
      <w:topLinePunct/>
      <w:adjustRightInd w:val="0"/>
      <w:snapToGrid w:val="0"/>
      <w:spacing w:line="440" w:lineRule="exact"/>
      <w:ind w:left="425" w:firstLineChars="200" w:firstLine="803"/>
      <w:jc w:val="left"/>
      <w:outlineLvl w:val="2"/>
    </w:pPr>
    <w:rPr>
      <w:rFonts w:ascii="宋体" w:hAnsi="宋体"/>
      <w:b/>
      <w:sz w:val="24"/>
      <w:szCs w:val="24"/>
    </w:rPr>
  </w:style>
  <w:style w:type="paragraph" w:customStyle="1" w:styleId="171">
    <w:name w:val="17“1.”四级标题"/>
    <w:basedOn w:val="022"/>
    <w:qFormat/>
    <w:rsid w:val="000F1839"/>
    <w:pPr>
      <w:numPr>
        <w:ilvl w:val="3"/>
        <w:numId w:val="1"/>
      </w:numPr>
      <w:tabs>
        <w:tab w:val="left" w:pos="360"/>
        <w:tab w:val="num" w:pos="425"/>
      </w:tabs>
      <w:ind w:left="425" w:firstLine="803"/>
    </w:pPr>
  </w:style>
  <w:style w:type="paragraph" w:customStyle="1" w:styleId="1811">
    <w:name w:val="18、“1.1”五级标题"/>
    <w:basedOn w:val="171"/>
    <w:qFormat/>
    <w:rsid w:val="000F1839"/>
    <w:pPr>
      <w:numPr>
        <w:ilvl w:val="4"/>
      </w:numPr>
      <w:tabs>
        <w:tab w:val="num" w:pos="360"/>
        <w:tab w:val="num" w:pos="425"/>
      </w:tabs>
      <w:ind w:left="425" w:firstLine="803"/>
    </w:pPr>
  </w:style>
  <w:style w:type="paragraph" w:customStyle="1" w:styleId="191">
    <w:name w:val="19、“(1)”六级标题"/>
    <w:basedOn w:val="171"/>
    <w:qFormat/>
    <w:rsid w:val="000F1839"/>
    <w:pPr>
      <w:numPr>
        <w:ilvl w:val="5"/>
      </w:numPr>
      <w:tabs>
        <w:tab w:val="num" w:pos="360"/>
        <w:tab w:val="num" w:pos="425"/>
      </w:tabs>
      <w:ind w:left="425" w:firstLine="803"/>
    </w:pPr>
  </w:style>
  <w:style w:type="character" w:customStyle="1" w:styleId="061Char">
    <w:name w:val="06、“1.”正文四级标题 Char"/>
    <w:link w:val="061"/>
    <w:qFormat/>
    <w:locked/>
    <w:rsid w:val="000F1839"/>
    <w:rPr>
      <w:rFonts w:ascii="宋体" w:hAnsi="宋体"/>
      <w:sz w:val="24"/>
    </w:rPr>
  </w:style>
  <w:style w:type="paragraph" w:customStyle="1" w:styleId="061">
    <w:name w:val="06、“1.”正文四级标题"/>
    <w:basedOn w:val="a"/>
    <w:link w:val="061Char"/>
    <w:qFormat/>
    <w:rsid w:val="000F1839"/>
    <w:pPr>
      <w:tabs>
        <w:tab w:val="left" w:pos="0"/>
      </w:tabs>
      <w:wordWrap w:val="0"/>
      <w:topLinePunct/>
      <w:adjustRightInd w:val="0"/>
      <w:snapToGrid w:val="0"/>
      <w:spacing w:line="440" w:lineRule="exact"/>
      <w:jc w:val="left"/>
    </w:pPr>
    <w:rPr>
      <w:rFonts w:ascii="宋体" w:eastAsiaTheme="minorEastAsia" w:hAnsi="宋体" w:cstheme="minorBidi"/>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268</Words>
  <Characters>1531</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2026-01-07T08:11:00Z</dcterms:created>
  <dcterms:modified xsi:type="dcterms:W3CDTF">2026-01-09T07:41:00Z</dcterms:modified>
</cp:coreProperties>
</file>